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400"/>
      </w:pPr>
    </w:p>
    <w:p>
      <w:pPr>
        <w:spacing w:after="200"/>
        <w:jc w:val="center"/>
      </w:pPr>
      <w:r>
        <w:rPr>
          <w:rFonts w:ascii="Times New Roman" w:cs="Times New Roman" w:eastAsia="思源黑体" w:hAnsi="Times New Roman"/>
          <w:b/>
          <w:bCs/>
          <w:color w:val="1F3864"/>
          <w:sz w:val="44"/>
          <w:szCs w:val="44"/>
        </w:rPr>
        <w:t xml:space="preserve">中国黑墓碑喷砂刻字技术方案书</w:t>
      </w:r>
    </w:p>
    <w:p>
      <w:pPr>
        <w:pBdr>
          <w:bottom w:val="single" w:color="2E5496" w:sz="12" w:space="6"/>
        </w:pBdr>
        <w:spacing w:after="600"/>
        <w:jc w:val="center"/>
      </w:pPr>
      <w:r>
        <w:rPr>
          <w:rFonts w:ascii="Times New Roman" w:cs="Times New Roman" w:eastAsia="思源黑体" w:hAnsi="Times New Roman"/>
          <w:color w:val="2E5496"/>
          <w:sz w:val="28"/>
          <w:szCs w:val="28"/>
        </w:rPr>
        <w:t xml:space="preserve">黑色花岗岩刻字工艺详解</w:t>
      </w:r>
    </w:p>
    <w:p>
      <w:pPr>
        <w:spacing w:after="120"/>
        <w:jc w:val="center"/>
      </w:pPr>
      <w:r>
        <w:rPr>
          <w:rFonts w:ascii="Times New Roman" w:cs="Times New Roman" w:eastAsia="思源黑体" w:hAnsi="Times New Roman"/>
          <w:color w:val="888888"/>
          <w:sz w:val="18"/>
          <w:szCs w:val="18"/>
        </w:rPr>
        <w:t xml:space="preserve">（SEO 优化标题：中国黑墓碑喷砂刻字技术方案书-黑色花岗岩刻字工艺详解）</w:t>
      </w:r>
    </w:p>
    <w:p>
      <w:pPr>
        <w:spacing w:before="700"/>
      </w:pPr>
    </w:p>
    <w:p>
      <w:pPr>
        <w:spacing w:after="400"/>
        <w:jc w:val="center"/>
      </w:pPr>
      <w:r>
        <w:rPr>
          <w:rFonts w:ascii="Times New Roman" w:cs="Times New Roman" w:eastAsia="思源黑体" w:hAnsi="Times New Roman"/>
          <w:color w:val="2E5496"/>
          <w:sz w:val="22"/>
          <w:szCs w:val="22"/>
        </w:rPr>
        <w:t xml:space="preserve">专业 · 清晰 · 可追溯</w:t>
      </w:r>
    </w:p>
    <w:tbl>
      <w:tblPr>
        <w:tblW w:type="dxa" w:w="6600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200"/>
        <w:gridCol w:w="4400"/>
      </w:tblGrid>
      <w:tr>
        <w:tc>
          <w:tcPr>
            <w:tcW w:type="dxa" w:w="22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思源黑体" w:hAnsi="Times New Roman"/>
                <w:b/>
                <w:bCs/>
                <w:sz w:val="22"/>
                <w:szCs w:val="22"/>
              </w:rPr>
              <w:t xml:space="preserve">工艺对象：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思源黑体" w:hAnsi="Times New Roman"/>
                <w:sz w:val="22"/>
                <w:szCs w:val="22"/>
              </w:rPr>
              <w:t xml:space="preserve">中国黑（黑色花岗岩）墓碑刻字面</w:t>
            </w:r>
          </w:p>
        </w:tc>
      </w:tr>
      <w:tr>
        <w:tc>
          <w:tcPr>
            <w:tcW w:type="dxa" w:w="22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思源黑体" w:hAnsi="Times New Roman"/>
                <w:b/>
                <w:bCs/>
                <w:sz w:val="22"/>
                <w:szCs w:val="22"/>
              </w:rPr>
              <w:t xml:space="preserve">雕刻形式：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思源黑体" w:hAnsi="Times New Roman"/>
                <w:sz w:val="22"/>
                <w:szCs w:val="22"/>
              </w:rPr>
              <w:t xml:space="preserve">阴刻（姓名 / 生卒 / 图案 / 悼词）</w:t>
            </w:r>
          </w:p>
        </w:tc>
      </w:tr>
      <w:tr>
        <w:tc>
          <w:tcPr>
            <w:tcW w:type="dxa" w:w="22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思源黑体" w:hAnsi="Times New Roman"/>
                <w:b/>
                <w:bCs/>
                <w:sz w:val="22"/>
                <w:szCs w:val="22"/>
              </w:rPr>
              <w:t xml:space="preserve">设备形式：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思源黑体" w:hAnsi="Times New Roman"/>
                <w:sz w:val="22"/>
                <w:szCs w:val="22"/>
              </w:rPr>
              <w:t xml:space="preserve">开放式移动喷砂机（手持喷枪）</w:t>
            </w:r>
          </w:p>
        </w:tc>
      </w:tr>
      <w:tr>
        <w:tc>
          <w:tcPr>
            <w:tcW w:type="dxa" w:w="22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思源黑体" w:hAnsi="Times New Roman"/>
                <w:b/>
                <w:bCs/>
                <w:sz w:val="22"/>
                <w:szCs w:val="22"/>
              </w:rPr>
              <w:t xml:space="preserve">版本：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思源黑体" w:hAnsi="Times New Roman"/>
                <w:sz w:val="22"/>
                <w:szCs w:val="22"/>
              </w:rPr>
              <w:t xml:space="preserve">V1.0</w:t>
            </w:r>
          </w:p>
        </w:tc>
      </w:tr>
      <w:tr>
        <w:tc>
          <w:tcPr>
            <w:tcW w:type="dxa" w:w="22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思源黑体" w:hAnsi="Times New Roman"/>
                <w:b/>
                <w:bCs/>
                <w:sz w:val="22"/>
                <w:szCs w:val="22"/>
              </w:rPr>
              <w:t xml:space="preserve">编制日期：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思源黑体" w:hAnsi="Times New Roman"/>
                <w:sz w:val="22"/>
                <w:szCs w:val="22"/>
              </w:rPr>
              <w:t xml:space="preserve">2026 年 08 月 28 日</w:t>
            </w:r>
          </w:p>
        </w:tc>
      </w:tr>
    </w:tbl>
    <w:p>
      <w:r>
        <w:br w:type="page"/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240"/>
        <w:jc w:val="center"/>
      </w:pPr>
      <w:r>
        <w:rPr>
          <w:rFonts w:ascii="Times New Roman" w:cs="Times New Roman" w:eastAsia="思源黑体" w:hAnsi="Times New Roman"/>
          <w:b/>
          <w:bCs/>
          <w:color w:val="1F3864"/>
          <w:sz w:val="32"/>
          <w:szCs w:val="32"/>
        </w:rPr>
        <w:t xml:space="preserve">目  录</w:t>
      </w:r>
    </w:p>
    <w:sdt>
      <w:sdtPr>
        <w:alias w:val="目录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0 章　SEO 标题与关键词布局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本方案书面向网络发布与官网收录优化，主标题及正文自然融入行业高搜索量关键词，提升「中国黑墓碑」「黑色花岗岩刻字」「喷砂刻字工艺」等词条的检索命中率。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0.1　标题策略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b/>
          <w:bCs/>
          <w:sz w:val="22"/>
          <w:szCs w:val="22"/>
        </w:rPr>
        <w:t xml:space="preserve">主标题（SEO 首选）：</w:t>
      </w:r>
      <w:r>
        <w:rPr>
          <w:rFonts w:ascii="Times New Roman" w:cs="Times New Roman" w:eastAsia="思源黑体" w:hAnsi="Times New Roman"/>
          <w:sz w:val="22"/>
          <w:szCs w:val="22"/>
        </w:rPr>
        <w:t xml:space="preserve">中国黑墓碑喷砂刻字技术方案书-黑色花岗岩刻字工艺详解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备选标题（覆盖不同搜索习惯）：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1. 中国黑花岗岩墓碑喷砂刻字全流程-开放式喷砂机参数与工艺指南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2. 黑色花岗岩（中国黑）墓碑刻字施工方案-喷砂雕刻设备、参数、验收标准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3. 中国黑墓碑喷砂刻字工艺详解：从石材特性到填色防护的专业方案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0.2　核心关键词清单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中国黑墓碑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黑色花岗岩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喷砂刻字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墓碑刻字工艺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开放式喷砂机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阴刻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石材防护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中国黑花岗岩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关键词密度建议：核心词「中国黑墓碑喷砂刻字」正文出现 8–12 次，「黑色花岗岩」6–8 次，「开放式喷砂机」5–7 次，自然分布，避免堆砌。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0.3　Meta 与 ALT 建议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b/>
          <w:bCs/>
          <w:sz w:val="22"/>
          <w:szCs w:val="22"/>
        </w:rPr>
        <w:t xml:space="preserve">Title Tag：</w:t>
      </w:r>
      <w:r>
        <w:rPr>
          <w:rFonts w:ascii="Times New Roman" w:cs="Times New Roman" w:eastAsia="思源黑体" w:hAnsi="Times New Roman"/>
          <w:sz w:val="22"/>
          <w:szCs w:val="22"/>
        </w:rPr>
        <w:t xml:space="preserve">中国黑墓碑喷砂刻字技术方案书-黑色花岗岩刻字工艺详解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b/>
          <w:bCs/>
          <w:sz w:val="22"/>
          <w:szCs w:val="22"/>
        </w:rPr>
        <w:t xml:space="preserve">Meta Description：</w:t>
      </w:r>
      <w:r>
        <w:rPr>
          <w:rFonts w:ascii="Times New Roman" w:cs="Times New Roman" w:eastAsia="思源黑体" w:hAnsi="Times New Roman"/>
          <w:sz w:val="22"/>
          <w:szCs w:val="22"/>
        </w:rPr>
        <w:t xml:space="preserve">专业中国黑（黑色花岗岩）墓碑喷砂刻字技术方案，涵盖开放式喷砂机参数、磨料选型、防发白工艺、刻字全流程与验收标准。适用于中国黑、蒙古黑等深色花岗岩材质。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b/>
          <w:bCs/>
          <w:sz w:val="22"/>
          <w:szCs w:val="22"/>
        </w:rPr>
        <w:t xml:space="preserve">图片 ALT：</w:t>
      </w:r>
      <w:r>
        <w:rPr>
          <w:rFonts w:ascii="Times New Roman" w:cs="Times New Roman" w:eastAsia="思源黑体" w:hAnsi="Times New Roman"/>
          <w:sz w:val="22"/>
          <w:szCs w:val="22"/>
        </w:rPr>
        <w:t xml:space="preserve">「中国黑墓碑喷砂刻字成品图」「开放式喷砂机黑色花岗岩刻字实拍」「中国黑刻字防发白收面对比图」。</w:t>
      </w:r>
    </w:p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1 章　工程概况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8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/>
                <w:bCs/>
                <w:sz w:val="20"/>
                <w:szCs w:val="20"/>
              </w:rPr>
              <w:t xml:space="preserve">工艺对象</w:t>
            </w:r>
          </w:p>
        </w:tc>
        <w:tc>
          <w:tcPr>
            <w:tcW w:type="dxa" w:w="68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 w:val="false"/>
                <w:bCs w:val="false"/>
                <w:sz w:val="20"/>
                <w:szCs w:val="20"/>
              </w:rPr>
              <w:t xml:space="preserve">中国黑墓碑主碑板刻字面（姓名、生卒年月、悼词、图案阴刻）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/>
                <w:bCs/>
                <w:sz w:val="20"/>
                <w:szCs w:val="20"/>
              </w:rPr>
              <w:t xml:space="preserve">石材特性</w:t>
            </w:r>
          </w:p>
        </w:tc>
        <w:tc>
          <w:tcPr>
            <w:tcW w:type="dxa" w:w="68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 w:val="false"/>
                <w:bCs w:val="false"/>
                <w:sz w:val="20"/>
                <w:szCs w:val="20"/>
              </w:rPr>
              <w:t xml:space="preserve">中国黑属黑色花岗岩（辉长岩/辉绿岩类），主要矿物为斜长石、辉石、少量石英；莫氏硬度 6–7，结构致密，抛光后可呈镜面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/>
                <w:bCs/>
                <w:sz w:val="20"/>
                <w:szCs w:val="20"/>
              </w:rPr>
              <w:t xml:space="preserve">设备形式</w:t>
            </w:r>
          </w:p>
        </w:tc>
        <w:tc>
          <w:tcPr>
            <w:tcW w:type="dxa" w:w="68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 w:val="false"/>
                <w:bCs w:val="false"/>
                <w:sz w:val="20"/>
                <w:szCs w:val="20"/>
              </w:rPr>
              <w:t xml:space="preserve">开放式移动喷砂机，工件固定、手持喷枪操作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/>
                <w:bCs/>
                <w:sz w:val="20"/>
                <w:szCs w:val="20"/>
              </w:rPr>
              <w:t xml:space="preserve">工艺路线</w:t>
            </w:r>
          </w:p>
        </w:tc>
        <w:tc>
          <w:tcPr>
            <w:tcW w:type="dxa" w:w="68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 w:val="false"/>
                <w:bCs w:val="false"/>
                <w:sz w:val="20"/>
                <w:szCs w:val="20"/>
              </w:rPr>
              <w:t xml:space="preserve">掩膜遮蔽 + 干式喷砂阴刻 + 后处理填色/防护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/>
                <w:bCs/>
                <w:sz w:val="20"/>
                <w:szCs w:val="20"/>
              </w:rPr>
              <w:t xml:space="preserve">核心难点</w:t>
            </w:r>
          </w:p>
        </w:tc>
        <w:tc>
          <w:tcPr>
            <w:tcW w:type="dxa" w:w="68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 w:val="false"/>
                <w:bCs w:val="false"/>
                <w:sz w:val="20"/>
                <w:szCs w:val="20"/>
              </w:rPr>
              <w:t xml:space="preserve">① 黑色矿物受冲击易粉化「发白/泛灰」；② 深色表面对比度低，刻字清晰度依赖槽底质感；③ 金属磨料碎屑嵌入微孔形成永久灰斑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/>
                <w:bCs/>
                <w:sz w:val="20"/>
                <w:szCs w:val="20"/>
              </w:rPr>
              <w:t xml:space="preserve">质量目标</w:t>
            </w:r>
          </w:p>
        </w:tc>
        <w:tc>
          <w:tcPr>
            <w:tcW w:type="dxa" w:w="68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b w:val="false"/>
                <w:bCs w:val="false"/>
                <w:sz w:val="20"/>
                <w:szCs w:val="20"/>
              </w:rPr>
              <w:t xml:space="preserve">笔画清晰锐利、无崩边、槽底纯黑不发白、填色饱满、户外耐候 ≥ 20 年</w:t>
            </w:r>
          </w:p>
        </w:tc>
      </w:tr>
    </w:tbl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1.1　中国黑的材质特点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中国黑（产地以河北、山西、内蒙古等地为主）是国产黑色花岗岩的代表品种，相比山西黑，其矿物颗粒略粗、黑色纯度与均一性存在批次差异，部分料含白色/灰色矿物条带或铁质浸染。这些特征决定了喷砂工艺的两个要点：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纹理/色带区域冲击响应不一致，同一气压下易出现深浅不均，需分区微调参数；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含铁质或隐裂隙的料，高压喷砂可能诱发微裂纹扩展，需控制上限压力。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1.2　工艺原理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在石材表面贴喷砂保护膜，按碑文矢量图镂空需刻除区域；喷砂机以压缩空气推动磨料，经耐磨喷嘴高速冲击镂空区，逐层剥离石材形成阴字凹槽。未镂空区由掩膜保护。中国黑硬度高，可采用较高压力与粗磨料实现高效深雕，但必须通过「粗雕 + 细砂收面」两段式工艺消除表面粉化层，保证槽底恢复纯黑色泽。</w:t>
      </w:r>
    </w:p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2 章　设备与材料配置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2.1　开放式喷砂机系统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2400"/>
        <w:gridCol w:w="4226"/>
        <w:gridCol w:w="240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设备/部件</w:t>
            </w:r>
          </w:p>
        </w:tc>
        <w:tc>
          <w:tcPr>
            <w:tcW w:type="dxa" w:w="42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技术规格</w:t>
            </w:r>
          </w:p>
        </w:tc>
        <w:tc>
          <w:tcPr>
            <w:tcW w:type="dxa" w:w="2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空压机</w:t>
            </w:r>
          </w:p>
        </w:tc>
        <w:tc>
          <w:tcPr>
            <w:tcW w:type="dxa" w:w="4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排气量 ≥ 1.2 m³/min，压力 ≥ 0.8 MPa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持续稳定供气</w:t>
            </w:r>
          </w:p>
        </w:tc>
      </w:tr>
      <w:tr>
        <w:trPr>
          <w:tblHeader w:val="false"/>
        </w:trPr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储气罐</w:t>
            </w:r>
          </w:p>
        </w:tc>
        <w:tc>
          <w:tcPr>
            <w:tcW w:type="dxa" w:w="42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≥ 0.3 m³，配安全阀/排污阀</w:t>
            </w:r>
          </w:p>
        </w:tc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稳压、每日排水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油水分离器</w:t>
            </w:r>
          </w:p>
        </w:tc>
        <w:tc>
          <w:tcPr>
            <w:tcW w:type="dxa" w:w="4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三级过滤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含油 ≤ 0.1 mg/m³，露点 ≤ -40℃</w:t>
            </w:r>
          </w:p>
        </w:tc>
      </w:tr>
      <w:tr>
        <w:trPr>
          <w:tblHeader w:val="false"/>
        </w:trPr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喷砂主机</w:t>
            </w:r>
          </w:p>
        </w:tc>
        <w:tc>
          <w:tcPr>
            <w:tcW w:type="dxa" w:w="42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压入式干喷砂机，0.1–0.3 m³</w:t>
            </w:r>
          </w:p>
        </w:tc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带调压阀、远程开关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喷枪/喷嘴</w:t>
            </w:r>
          </w:p>
        </w:tc>
        <w:tc>
          <w:tcPr>
            <w:tcW w:type="dxa" w:w="4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碳化硼喷嘴，φ4–8 mm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常规 φ6，细字 φ4–5</w:t>
            </w:r>
          </w:p>
        </w:tc>
      </w:tr>
      <w:tr>
        <w:trPr>
          <w:tblHeader w:val="false"/>
        </w:trPr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除尘系统</w:t>
            </w:r>
          </w:p>
        </w:tc>
        <w:tc>
          <w:tcPr>
            <w:tcW w:type="dxa" w:w="42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移动式滤筒除尘器，≥ 2000 m³/h</w:t>
            </w:r>
          </w:p>
        </w:tc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排放 ≤ 5 mg/m³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固定台架</w:t>
            </w:r>
          </w:p>
        </w:tc>
        <w:tc>
          <w:tcPr>
            <w:tcW w:type="dxa" w:w="4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可调倾角 0–90°，橡胶垫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防滑动磕碰</w:t>
            </w:r>
          </w:p>
        </w:tc>
      </w:tr>
    </w:tbl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2.2　磨料选型（中国黑专用）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中国黑硬度 6–7，可承受高硬度磨料，粗雕阶段可使用棕刚玉提高效率；但末遍收面必须使用细砂削除粉化层。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2200"/>
        <w:gridCol w:w="2000"/>
        <w:gridCol w:w="2400"/>
        <w:gridCol w:w="2426"/>
      </w:tblGrid>
      <w:tr>
        <w:trPr>
          <w:tblHeader/>
        </w:trPr>
        <w:tc>
          <w:tcPr>
            <w:tcW w:type="dxa" w:w="2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磨料</w:t>
            </w:r>
          </w:p>
        </w:tc>
        <w:tc>
          <w:tcPr>
            <w:tcW w:type="dxa" w:w="2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粒度</w:t>
            </w:r>
          </w:p>
        </w:tc>
        <w:tc>
          <w:tcPr>
            <w:tcW w:type="dxa" w:w="2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适用阶段</w:t>
            </w:r>
          </w:p>
        </w:tc>
        <w:tc>
          <w:tcPr>
            <w:tcW w:type="dxa" w:w="24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棕刚玉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60–80 目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粗雕开槽</w:t>
            </w:r>
          </w:p>
        </w:tc>
        <w:tc>
          <w:tcPr>
            <w:tcW w:type="dxa" w:w="2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硬度 9，效率高，发白风险高，仅限粗雕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石榴砂</w:t>
            </w:r>
          </w:p>
        </w:tc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100–150 目</w:t>
            </w:r>
          </w:p>
        </w:tc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常规刻字</w:t>
            </w:r>
          </w:p>
        </w:tc>
        <w:tc>
          <w:tcPr>
            <w:tcW w:type="dxa" w:w="2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莫氏 7–8，切削适中，主力磨料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石榴砂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150–180 目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收面/细字</w:t>
            </w:r>
          </w:p>
        </w:tc>
        <w:tc>
          <w:tcPr>
            <w:tcW w:type="dxa" w:w="2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消除粉化层、恢复黑底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玻璃珠</w:t>
            </w:r>
          </w:p>
        </w:tc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100–150 目</w:t>
            </w:r>
          </w:p>
        </w:tc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末遍收光（可选）</w:t>
            </w:r>
          </w:p>
        </w:tc>
        <w:tc>
          <w:tcPr>
            <w:tcW w:type="dxa" w:w="2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球形冲击，降低发白、提升槽底均匀性</w:t>
            </w:r>
          </w:p>
        </w:tc>
      </w:tr>
    </w:tbl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磨料指标：含水率 ≤ 2%，含泥量 ≤ 1%；回收砂须过筛除粉后复用，复用 ≤ 3 次。末遍收面砂必须采用全新砂，杜绝粉尘二次污染黑色槽底。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2.3　掩膜与辅材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3200"/>
        <w:gridCol w:w="3800"/>
        <w:gridCol w:w="2026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材料</w:t>
            </w:r>
          </w:p>
        </w:tc>
        <w:tc>
          <w:tcPr>
            <w:tcW w:type="dxa" w:w="38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规格</w:t>
            </w:r>
          </w:p>
        </w:tc>
        <w:tc>
          <w:tcPr>
            <w:tcW w:type="dxa" w:w="20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用途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PVC 喷砂保护膜</w:t>
            </w:r>
          </w:p>
        </w:tc>
        <w:tc>
          <w:tcPr>
            <w:tcW w:type="dxa" w:w="3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厚 0.2–0.5 mm，背胶型</w:t>
            </w:r>
          </w:p>
        </w:tc>
        <w:tc>
          <w:tcPr>
            <w:tcW w:type="dxa" w:w="20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主掩膜，耐冲击</w:t>
            </w:r>
          </w:p>
        </w:tc>
      </w:tr>
      <w:tr>
        <w:trPr>
          <w:tblHeader w:val="false"/>
        </w:trPr>
        <w:tc>
          <w:tcPr>
            <w:tcW w:type="dxa" w:w="3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美纹纸胶带</w:t>
            </w:r>
          </w:p>
        </w:tc>
        <w:tc>
          <w:tcPr>
            <w:tcW w:type="dxa" w:w="38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18–48 mm</w:t>
            </w:r>
          </w:p>
        </w:tc>
        <w:tc>
          <w:tcPr>
            <w:tcW w:type="dxa" w:w="20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膜边封边防钻砂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填色漆</w:t>
            </w:r>
          </w:p>
        </w:tc>
        <w:tc>
          <w:tcPr>
            <w:tcW w:type="dxa" w:w="3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石材专用改性环氧/聚氨酯</w:t>
            </w:r>
          </w:p>
        </w:tc>
        <w:tc>
          <w:tcPr>
            <w:tcW w:type="dxa" w:w="20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附着力 ≥ 4B，耐 UV ≥ 7 级</w:t>
            </w:r>
          </w:p>
        </w:tc>
      </w:tr>
      <w:tr>
        <w:trPr>
          <w:tblHeader w:val="false"/>
        </w:trPr>
        <w:tc>
          <w:tcPr>
            <w:tcW w:type="dxa" w:w="3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清洁剂</w:t>
            </w:r>
          </w:p>
        </w:tc>
        <w:tc>
          <w:tcPr>
            <w:tcW w:type="dxa" w:w="38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工业酒精 ≥ 95% / 丙酮</w:t>
            </w:r>
          </w:p>
        </w:tc>
        <w:tc>
          <w:tcPr>
            <w:tcW w:type="dxa" w:w="20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脱脂、除残胶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渗透防护剂</w:t>
            </w:r>
          </w:p>
        </w:tc>
        <w:tc>
          <w:tcPr>
            <w:tcW w:type="dxa" w:w="3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氟硅类</w:t>
            </w:r>
          </w:p>
        </w:tc>
        <w:tc>
          <w:tcPr>
            <w:tcW w:type="dxa" w:w="20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六面封闭</w:t>
            </w:r>
          </w:p>
        </w:tc>
      </w:tr>
    </w:tbl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3 章　工艺参数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3.1　基准参数表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2000"/>
        <w:gridCol w:w="1756"/>
        <w:gridCol w:w="1756"/>
        <w:gridCol w:w="1758"/>
        <w:gridCol w:w="1756"/>
      </w:tblGrid>
      <w:tr>
        <w:trPr>
          <w:tblHeader/>
        </w:trPr>
        <w:tc>
          <w:tcPr>
            <w:tcW w:type="dxa" w:w="2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参数</w:t>
            </w:r>
          </w:p>
        </w:tc>
        <w:tc>
          <w:tcPr>
            <w:tcW w:type="dxa" w:w="175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常规刻字</w:t>
            </w:r>
          </w:p>
        </w:tc>
        <w:tc>
          <w:tcPr>
            <w:tcW w:type="dxa" w:w="175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精细小字</w:t>
            </w:r>
          </w:p>
        </w:tc>
        <w:tc>
          <w:tcPr>
            <w:tcW w:type="dxa" w:w="1758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深雕粗体</w:t>
            </w:r>
          </w:p>
        </w:tc>
        <w:tc>
          <w:tcPr>
            <w:tcW w:type="dxa" w:w="175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收面（末遍）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气压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0.4–0.55 MPa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0.3–0.4 MPa</w:t>
            </w:r>
          </w:p>
        </w:tc>
        <w:tc>
          <w:tcPr>
            <w:tcW w:type="dxa" w:w="17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0.55–0.65 MPa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0.25–0.35 MPa</w:t>
            </w:r>
          </w:p>
        </w:tc>
      </w:tr>
      <w:tr>
        <w:trPr>
          <w:tblHeader w:val="false"/>
        </w:trPr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磨料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石榴砂 100–120 目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石榴砂 150–180 目</w:t>
            </w:r>
          </w:p>
        </w:tc>
        <w:tc>
          <w:tcPr>
            <w:tcW w:type="dxa" w:w="1758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棕刚玉 60–80 目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石榴砂 150–180 目 / 玻璃珠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喷嘴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φ5–6 mm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φ4–5 mm</w:t>
            </w:r>
          </w:p>
        </w:tc>
        <w:tc>
          <w:tcPr>
            <w:tcW w:type="dxa" w:w="17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φ6–8 mm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φ4–5 mm</w:t>
            </w:r>
          </w:p>
        </w:tc>
      </w:tr>
      <w:tr>
        <w:trPr>
          <w:tblHeader w:val="false"/>
        </w:trPr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喷距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120–180 mm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150–220 mm</w:t>
            </w:r>
          </w:p>
        </w:tc>
        <w:tc>
          <w:tcPr>
            <w:tcW w:type="dxa" w:w="1758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100–150 mm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100–160 mm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角度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垂直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45° 轻扫</w:t>
            </w:r>
          </w:p>
        </w:tc>
        <w:tc>
          <w:tcPr>
            <w:tcW w:type="dxa" w:w="17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垂直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垂直/45°</w:t>
            </w:r>
          </w:p>
        </w:tc>
      </w:tr>
      <w:tr>
        <w:trPr>
          <w:tblHeader w:val="false"/>
        </w:trPr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走速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100–150 mm/s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70–110 mm/s</w:t>
            </w:r>
          </w:p>
        </w:tc>
        <w:tc>
          <w:tcPr>
            <w:tcW w:type="dxa" w:w="1758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60–100 mm/s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120–180 mm/s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单遍深度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0.5–0.8 mm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0.3–0.5 mm</w:t>
            </w:r>
          </w:p>
        </w:tc>
        <w:tc>
          <w:tcPr>
            <w:tcW w:type="dxa" w:w="17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0.8–1.2 mm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0.1–0.2 mm（仅削粉化层）</w:t>
            </w:r>
          </w:p>
        </w:tc>
      </w:tr>
      <w:tr>
        <w:trPr>
          <w:tblHeader w:val="false"/>
        </w:trPr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遍数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2–3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1–2</w:t>
            </w:r>
          </w:p>
        </w:tc>
        <w:tc>
          <w:tcPr>
            <w:tcW w:type="dxa" w:w="1758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2–4</w:t>
            </w:r>
          </w:p>
        </w:tc>
        <w:tc>
          <w:tcPr>
            <w:tcW w:type="dxa" w:w="175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1（必做）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最终深度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1.2–2.0 mm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0.6–1.0 mm</w:t>
            </w:r>
          </w:p>
        </w:tc>
        <w:tc>
          <w:tcPr>
            <w:tcW w:type="dxa" w:w="17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2.5–4.0 mm</w:t>
            </w:r>
          </w:p>
        </w:tc>
        <w:tc>
          <w:tcPr>
            <w:tcW w:type="dxa" w:w="17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b/>
          <w:bCs/>
          <w:color w:val="C00000"/>
          <w:sz w:val="22"/>
          <w:szCs w:val="22"/>
        </w:rPr>
        <w:t xml:space="preserve">红线：</w:t>
      </w:r>
      <w:r>
        <w:rPr>
          <w:rFonts w:ascii="Times New Roman" w:cs="Times New Roman" w:eastAsia="思源黑体" w:hAnsi="Times New Roman"/>
          <w:sz w:val="22"/>
          <w:szCs w:val="22"/>
        </w:rPr>
        <w:t xml:space="preserve">粗雕气压 ≤ 0.65 MPa；含隐裂/色带区域降压 15–20%；总字深常规 ≤ 4 mm，超深雕 ≤ 5 mm（兼顾结构强度与应力控制）。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3.2　防发白三阶段控制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1800"/>
        <w:gridCol w:w="2400"/>
        <w:gridCol w:w="2400"/>
        <w:gridCol w:w="2426"/>
      </w:tblGrid>
      <w:tr>
        <w:trPr>
          <w:tblHeader/>
        </w:trPr>
        <w:tc>
          <w:tcPr>
            <w:tcW w:type="dxa" w:w="18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2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目标</w:t>
            </w:r>
          </w:p>
        </w:tc>
        <w:tc>
          <w:tcPr>
            <w:tcW w:type="dxa" w:w="2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参数</w:t>
            </w:r>
          </w:p>
        </w:tc>
        <w:tc>
          <w:tcPr>
            <w:tcW w:type="dxa" w:w="24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① 粗雕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快速成型至 80% 深度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棕刚玉 60–80 目 / 石榴砂 100 目，0.5–0.65 MPa</w:t>
            </w:r>
          </w:p>
        </w:tc>
        <w:tc>
          <w:tcPr>
            <w:tcW w:type="dxa" w:w="2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高效去除，允许槽底粉化</w:t>
            </w:r>
          </w:p>
        </w:tc>
      </w:tr>
      <w:tr>
        <w:trPr>
          <w:tblHeader w:val="false"/>
        </w:trPr>
        <w:tc>
          <w:tcPr>
            <w:tcW w:type="dxa" w:w="18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② 精修</w:t>
            </w:r>
          </w:p>
        </w:tc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达到目标深度、修整边缘</w:t>
            </w:r>
          </w:p>
        </w:tc>
        <w:tc>
          <w:tcPr>
            <w:tcW w:type="dxa" w:w="2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石榴砂 120–150 目，0.35–0.5 MPa</w:t>
            </w:r>
          </w:p>
        </w:tc>
        <w:tc>
          <w:tcPr>
            <w:tcW w:type="dxa" w:w="2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降低冲击能量，减少新粉化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③ 收面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削除粉化层、恢复纯黑</w:t>
            </w:r>
          </w:p>
        </w:tc>
        <w:tc>
          <w:tcPr>
            <w:tcW w:type="dxa" w:w="2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石榴砂 150–180 目 / 玻璃珠，0.25–0.35 MPa，快走</w:t>
            </w:r>
          </w:p>
        </w:tc>
        <w:tc>
          <w:tcPr>
            <w:tcW w:type="dxa" w:w="2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全新细砂，低压快扫 1 遍</w:t>
            </w:r>
          </w:p>
        </w:tc>
      </w:tr>
    </w:tbl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3.3　与相近石材的参数对比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2200"/>
        <w:gridCol w:w="2200"/>
        <w:gridCol w:w="2200"/>
        <w:gridCol w:w="2426"/>
      </w:tblGrid>
      <w:tr>
        <w:trPr>
          <w:tblHeader/>
        </w:trPr>
        <w:tc>
          <w:tcPr>
            <w:tcW w:type="dxa" w:w="2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对比项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中国黑（本方案）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山西黑（纯黑致密）</w:t>
            </w:r>
          </w:p>
        </w:tc>
        <w:tc>
          <w:tcPr>
            <w:tcW w:type="dxa" w:w="24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大理石（碳酸盐）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硬度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6–7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6–7</w:t>
            </w:r>
          </w:p>
        </w:tc>
        <w:tc>
          <w:tcPr>
            <w:tcW w:type="dxa" w:w="2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3–4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粗雕磨料</w:t>
            </w:r>
          </w:p>
        </w:tc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棕刚玉可用</w:t>
            </w:r>
          </w:p>
        </w:tc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棕刚玉可用</w:t>
            </w:r>
          </w:p>
        </w:tc>
        <w:tc>
          <w:tcPr>
            <w:tcW w:type="dxa" w:w="2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严禁棕刚玉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常规气压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0.4–0.55 MPa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0.4–0.6 MPa</w:t>
            </w:r>
          </w:p>
        </w:tc>
        <w:tc>
          <w:tcPr>
            <w:tcW w:type="dxa" w:w="2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0.15–0.40 MPa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是否需收面防发白</w:t>
            </w:r>
          </w:p>
        </w:tc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必须</w:t>
            </w:r>
          </w:p>
        </w:tc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必须</w:t>
            </w:r>
          </w:p>
        </w:tc>
        <w:tc>
          <w:tcPr>
            <w:tcW w:type="dxa" w:w="2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不需要（本身浅色）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最大字深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≤ 4–5 mm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≤ 4 mm</w:t>
            </w:r>
          </w:p>
        </w:tc>
        <w:tc>
          <w:tcPr>
            <w:tcW w:type="dxa" w:w="2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≤ 3.5 mm</w:t>
            </w:r>
          </w:p>
        </w:tc>
      </w:tr>
    </w:tbl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4 章　施工流程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完整工序：图纸确认 → 石材检查 → 清洁干燥 → 贴膜镂空 → 试喷定标 → 正式喷砂 → 撕膜清理 → 填色防护 → 包装交付。关键步骤要点如下：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4.1　图纸确认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核对碑文内容、字体、字号、排版，输出 1:1 矢量文件（DXF/AI），客户签字留底。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4.2　石材检查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透光/敲击检查隐裂，确认无色带集中于刻字区；碑面平整度 ≤ 0.3 mm/m，含水率 ≤ 8%。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4.3　清洁干燥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酒精或丙酮擦拭脱脂，晾干 ≥ 15 min，确保完全干燥（掩膜附着力保障）。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4.4　贴膜镂空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PVC 膜刮平无气泡 → 刻字机 1:1 镂空 → 撕除文字区残膜 → 美纹纸封边防钻砂。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4.5　试喷定标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同料边角料试刻，检查崩边、深度、发白程度，固化参数并留样。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4.6　正式喷砂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先 45° 定边 → 垂直粗雕 → 精修 → 末遍细砂收面防发白；过程每 10 min 检查气压、膜边。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4.7　撕膜清理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先关砂阀后关气；软刷 + 吸尘清粉；严禁高压气直吹（避免细粉压入黑色微孔形成永久灰斑）。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4.8　填色防护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喷砂后 24 h 内填色（环氧金漆/彩漆）→ 固化 ≥ 48 h → 六面氟硅防护剂封闭。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b/>
          <w:bCs/>
          <w:color w:val="C00000"/>
          <w:sz w:val="22"/>
          <w:szCs w:val="22"/>
        </w:rPr>
        <w:t xml:space="preserve">防发白专项提醒：</w:t>
      </w:r>
      <w:r>
        <w:rPr>
          <w:rFonts w:ascii="Times New Roman" w:cs="Times New Roman" w:eastAsia="思源黑体" w:hAnsi="Times New Roman"/>
          <w:sz w:val="22"/>
          <w:szCs w:val="22"/>
        </w:rPr>
        <w:t xml:space="preserve">第⑥步收面与第⑦步清理是决定中国黑刻字「黑得下去」的两道关口——收面用全新细砂低压快扫，清理用软刷+吸尘+酒精，二者缺一不可。</w:t>
      </w:r>
    </w:p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5 章　质量控制标准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2600"/>
        <w:gridCol w:w="4426"/>
        <w:gridCol w:w="20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检验项目</w:t>
            </w:r>
          </w:p>
        </w:tc>
        <w:tc>
          <w:tcPr>
            <w:tcW w:type="dxa" w:w="44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标准要求</w:t>
            </w:r>
          </w:p>
        </w:tc>
        <w:tc>
          <w:tcPr>
            <w:tcW w:type="dxa" w:w="2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方法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内容准确性</w:t>
            </w:r>
          </w:p>
        </w:tc>
        <w:tc>
          <w:tcPr>
            <w:tcW w:type="dxa" w:w="4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与原稿 100% 一致，零误差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逐字对照</w:t>
            </w:r>
          </w:p>
        </w:tc>
      </w:tr>
      <w:tr>
        <w:trPr>
          <w:tblHeader w:val="false"/>
        </w:trPr>
        <w:tc>
          <w:tcPr>
            <w:tcW w:type="dxa" w:w="26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笔画宽度</w:t>
            </w:r>
          </w:p>
        </w:tc>
        <w:tc>
          <w:tcPr>
            <w:tcW w:type="dxa" w:w="4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误差 ≤ ±0.3 mm</w:t>
            </w:r>
          </w:p>
        </w:tc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游标卡尺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深度均匀性</w:t>
            </w:r>
          </w:p>
        </w:tc>
        <w:tc>
          <w:tcPr>
            <w:tcW w:type="dxa" w:w="4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同字深差 ≤ 0.3 mm，同版面 ≤ 0.6 mm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深度尺 0.01 mm</w:t>
            </w:r>
          </w:p>
        </w:tc>
      </w:tr>
      <w:tr>
        <w:trPr>
          <w:tblHeader w:val="false"/>
        </w:trPr>
        <w:tc>
          <w:tcPr>
            <w:tcW w:type="dxa" w:w="26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边缘质量</w:t>
            </w:r>
          </w:p>
        </w:tc>
        <w:tc>
          <w:tcPr>
            <w:tcW w:type="dxa" w:w="4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无崩边、无缺口、无锯齿</w:t>
            </w:r>
          </w:p>
        </w:tc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目视 + 10× 放大镜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槽底色度（专项）</w:t>
            </w:r>
          </w:p>
        </w:tc>
        <w:tc>
          <w:tcPr>
            <w:tcW w:type="dxa" w:w="4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无发白、无灰雾，纯黑均匀；强光侧照无明显灰斑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目视 / 色差仪</w:t>
            </w:r>
          </w:p>
        </w:tc>
      </w:tr>
      <w:tr>
        <w:trPr>
          <w:tblHeader w:val="false"/>
        </w:trPr>
        <w:tc>
          <w:tcPr>
            <w:tcW w:type="dxa" w:w="26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非刻字区</w:t>
            </w:r>
          </w:p>
        </w:tc>
        <w:tc>
          <w:tcPr>
            <w:tcW w:type="dxa" w:w="4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无砂痕、无残胶、无划伤</w:t>
            </w:r>
          </w:p>
        </w:tc>
        <w:tc>
          <w:tcPr>
            <w:tcW w:type="dxa" w:w="2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500 lux 目视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填色质量</w:t>
            </w:r>
          </w:p>
        </w:tc>
        <w:tc>
          <w:tcPr>
            <w:tcW w:type="dxa" w:w="4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饱满均匀、无溢出、无脱落（附着力 ≥ 4B）</w:t>
            </w:r>
          </w:p>
        </w:tc>
        <w:tc>
          <w:tcPr>
            <w:tcW w:type="dxa" w:w="2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刮擦测试</w:t>
            </w:r>
          </w:p>
        </w:tc>
      </w:tr>
    </w:tbl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6 章　常见问题与对策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2200"/>
        <w:gridCol w:w="3400"/>
        <w:gridCol w:w="3426"/>
      </w:tblGrid>
      <w:tr>
        <w:trPr>
          <w:tblHeader/>
        </w:trPr>
        <w:tc>
          <w:tcPr>
            <w:tcW w:type="dxa" w:w="2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问题</w:t>
            </w:r>
          </w:p>
        </w:tc>
        <w:tc>
          <w:tcPr>
            <w:tcW w:type="dxa" w:w="3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产生原因</w:t>
            </w:r>
          </w:p>
        </w:tc>
        <w:tc>
          <w:tcPr>
            <w:tcW w:type="dxa" w:w="34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纠正措施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槽底发白/泛灰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粗砂高压粉化 + 金属碎屑嵌入微孔</w:t>
            </w:r>
          </w:p>
        </w:tc>
        <w:tc>
          <w:tcPr>
            <w:tcW w:type="dxa" w:w="3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末遍全新细砂低压快扫收面；禁用含铁质杂砂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灰斑（点状）</w:t>
            </w:r>
          </w:p>
        </w:tc>
        <w:tc>
          <w:tcPr>
            <w:tcW w:type="dxa" w:w="3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高压气直吹将细粉压入微孔</w:t>
            </w:r>
          </w:p>
        </w:tc>
        <w:tc>
          <w:tcPr>
            <w:tcW w:type="dxa" w:w="3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改用软刷+吸尘+酒精，禁止高压气直吹槽底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深度不均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色带/纹理区冲击响应不一致</w:t>
            </w:r>
          </w:p>
        </w:tc>
        <w:tc>
          <w:tcPr>
            <w:tcW w:type="dxa" w:w="3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色带区降压 15–20%，分区微调参数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边缘崩口</w:t>
            </w:r>
          </w:p>
        </w:tc>
        <w:tc>
          <w:tcPr>
            <w:tcW w:type="dxa" w:w="3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气压过高、膜边未封实</w:t>
            </w:r>
          </w:p>
        </w:tc>
        <w:tc>
          <w:tcPr>
            <w:tcW w:type="dxa" w:w="3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降压、美纹纸重新封边、先 45° 定边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微裂纹扩展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含铁质/隐裂料受高压冲击</w:t>
            </w:r>
          </w:p>
        </w:tc>
        <w:tc>
          <w:tcPr>
            <w:tcW w:type="dxa" w:w="3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喷砂前透光/敲击检查，问题料降压或改浅雕</w:t>
            </w:r>
          </w:p>
        </w:tc>
      </w:tr>
      <w:tr>
        <w:trPr>
          <w:tblHeader w:val="false"/>
        </w:trPr>
        <w:tc>
          <w:tcPr>
            <w:tcW w:type="dxa" w:w="22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填色脱落</w:t>
            </w:r>
          </w:p>
        </w:tc>
        <w:tc>
          <w:tcPr>
            <w:tcW w:type="dxa" w:w="34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槽内粉尘未清净、漆种不匹配</w:t>
            </w:r>
          </w:p>
        </w:tc>
        <w:tc>
          <w:tcPr>
            <w:tcW w:type="dxa" w:w="34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彻底清粉、换石材专用环氧漆、保证固化</w:t>
            </w:r>
          </w:p>
        </w:tc>
      </w:tr>
    </w:tbl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7 章　安全与环保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7.1　人员防护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呼吸：开放式喷砂粉尘扩散大，须佩戴供气式头盔或 P100 级防尘口罩；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听力：耳塞（空压机 85–95 dB）；眼部护目镜；身体连体防尘服 + 橡胶手套 + 防滑鞋；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严禁化纤衣物（粉尘 + 静电 = 燃爆风险）。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7.2　现场管理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作业区设 2 m 防尘围挡，除尘器先开后关（延时 ≥ 5 min）；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储气罐每日排水、定期校验安全阀；喷嘴磨损 &gt; 15% 即换；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现场配备洗眼器（距作业点 ≤ 15 m）与急救箱。</w:t>
      </w:r>
    </w:p>
    <w:p>
      <w:pPr>
        <w:pStyle w:val="Heading2"/>
      </w:pPr>
      <w:r>
        <w:rPr>
          <w:rFonts w:ascii="Times New Roman" w:cs="Times New Roman" w:eastAsia="思源黑体" w:hAnsi="Times New Roman"/>
        </w:rPr>
        <w:t xml:space="preserve">7.3　环保要求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废砂/石粉袋装收集，交有资质单位处置，严禁倒入雨水或土壤；</w:t>
      </w:r>
    </w:p>
    <w:p>
      <w:pPr>
        <w:pStyle w:val="ListParagraph"/>
        <w:numPr>
          <w:ilvl w:val="0"/>
          <w:numId w:val="3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噪声、粉尘排放符合 GB 16297 及当地环保要求。</w:t>
      </w:r>
    </w:p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8 章　设备维护与保养</w:t>
      </w:r>
    </w:p>
    <w:tbl>
      <w:tblPr>
        <w:tblW w:type="dxa" w:w="9026"/>
        <w:tblBorders>
          <w:top w:val="single" w:color="AAB7CF" w:sz="4"/>
          <w:left w:val="single" w:color="AAB7CF" w:sz="4"/>
          <w:bottom w:val="single" w:color="AAB7CF" w:sz="4"/>
          <w:right w:val="single" w:color="AAB7CF" w:sz="4"/>
          <w:insideH w:val="single" w:color="AAB7CF" w:sz="4"/>
          <w:insideV w:val="single" w:color="AAB7CF" w:sz="4"/>
        </w:tblBorders>
      </w:tblPr>
      <w:tblGrid>
        <w:gridCol w:w="3000"/>
        <w:gridCol w:w="3000"/>
        <w:gridCol w:w="3026"/>
      </w:tblGrid>
      <w:tr>
        <w:trPr>
          <w:tblHeader/>
        </w:trPr>
        <w:tc>
          <w:tcPr>
            <w:tcW w:type="dxa" w:w="3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部件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周期</w:t>
            </w:r>
          </w:p>
        </w:tc>
        <w:tc>
          <w:tcPr>
            <w:tcW w:type="dxa" w:w="302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b/>
                <w:bCs/>
                <w:color w:val="FFFFFF"/>
                <w:sz w:val="20"/>
                <w:szCs w:val="20"/>
              </w:rPr>
              <w:t xml:space="preserve">维护内容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油水分离器</w:t>
            </w:r>
          </w:p>
        </w:tc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每日</w:t>
            </w:r>
          </w:p>
        </w:tc>
        <w:tc>
          <w:tcPr>
            <w:tcW w:type="dxa" w:w="30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排污、检查滤芯</w:t>
            </w:r>
          </w:p>
        </w:tc>
      </w:tr>
      <w:tr>
        <w:trPr>
          <w:tblHeader w:val="false"/>
        </w:trPr>
        <w:tc>
          <w:tcPr>
            <w:tcW w:type="dxa" w:w="3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喷嘴</w:t>
            </w:r>
          </w:p>
        </w:tc>
        <w:tc>
          <w:tcPr>
            <w:tcW w:type="dxa" w:w="3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每班次</w:t>
            </w:r>
          </w:p>
        </w:tc>
        <w:tc>
          <w:tcPr>
            <w:tcW w:type="dxa" w:w="30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测孔径，磨损 &gt; 15% 更换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砂阀/调砂器</w:t>
            </w:r>
          </w:p>
        </w:tc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每周</w:t>
            </w:r>
          </w:p>
        </w:tc>
        <w:tc>
          <w:tcPr>
            <w:tcW w:type="dxa" w:w="30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清砂道、查密封</w:t>
            </w:r>
          </w:p>
        </w:tc>
      </w:tr>
      <w:tr>
        <w:trPr>
          <w:tblHeader w:val="false"/>
        </w:trPr>
        <w:tc>
          <w:tcPr>
            <w:tcW w:type="dxa" w:w="3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软管</w:t>
            </w:r>
          </w:p>
        </w:tc>
        <w:tc>
          <w:tcPr>
            <w:tcW w:type="dxa" w:w="3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每月</w:t>
            </w:r>
          </w:p>
        </w:tc>
        <w:tc>
          <w:tcPr>
            <w:tcW w:type="dxa" w:w="30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查磨损、龟裂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除尘器滤筒</w:t>
            </w:r>
          </w:p>
        </w:tc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压差报警时</w:t>
            </w:r>
          </w:p>
        </w:tc>
        <w:tc>
          <w:tcPr>
            <w:tcW w:type="dxa" w:w="30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脉冲反吹或拆洗/更换</w:t>
            </w:r>
          </w:p>
        </w:tc>
      </w:tr>
      <w:tr>
        <w:trPr>
          <w:tblHeader w:val="false"/>
        </w:trPr>
        <w:tc>
          <w:tcPr>
            <w:tcW w:type="dxa" w:w="3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空压机</w:t>
            </w:r>
          </w:p>
        </w:tc>
        <w:tc>
          <w:tcPr>
            <w:tcW w:type="dxa" w:w="3000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按厂家手册</w:t>
            </w:r>
          </w:p>
        </w:tc>
        <w:tc>
          <w:tcPr>
            <w:tcW w:type="dxa" w:w="3026"/>
            <w:shd w:fill="EA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line="300"/>
              <w:jc w:val="left"/>
            </w:pPr>
            <w:r>
              <w:rPr>
                <w:rFonts w:ascii="Times New Roman" w:cs="Times New Roman" w:eastAsia="思源黑体" w:hAnsi="Times New Roman"/>
                <w:sz w:val="20"/>
                <w:szCs w:val="20"/>
              </w:rPr>
              <w:t xml:space="preserve">换油、换滤芯、查皮带</w:t>
            </w:r>
          </w:p>
        </w:tc>
      </w:tr>
    </w:tbl>
    <w:p>
      <w:pPr>
        <w:pStyle w:val="Heading1"/>
      </w:pPr>
      <w:r>
        <w:rPr>
          <w:rFonts w:ascii="Times New Roman" w:cs="Times New Roman" w:eastAsia="思源黑体" w:hAnsi="Times New Roman"/>
        </w:rPr>
        <w:t xml:space="preserve">第 9 章　交付与验收资料</w:t>
      </w:r>
    </w:p>
    <w:p>
      <w:pPr>
        <w:pStyle w:val="ListParagraph"/>
        <w:numPr>
          <w:ilvl w:val="0"/>
          <w:numId w:val="4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碑文确认单（客户签字原件）；</w:t>
      </w:r>
    </w:p>
    <w:p>
      <w:pPr>
        <w:pStyle w:val="ListParagraph"/>
        <w:numPr>
          <w:ilvl w:val="0"/>
          <w:numId w:val="4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石材材质证明（品种、产地、放射性 A 类报告）；</w:t>
      </w:r>
    </w:p>
    <w:p>
      <w:pPr>
        <w:pStyle w:val="ListParagraph"/>
        <w:numPr>
          <w:ilvl w:val="0"/>
          <w:numId w:val="4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石材物理性能检测报告（密度、吸水率、抗压强度）；</w:t>
      </w:r>
    </w:p>
    <w:p>
      <w:pPr>
        <w:pStyle w:val="ListParagraph"/>
        <w:numPr>
          <w:ilvl w:val="0"/>
          <w:numId w:val="4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试刻样板（附参数标签：气压 / 砂目 / 遍数 / 字深）；</w:t>
      </w:r>
    </w:p>
    <w:p>
      <w:pPr>
        <w:pStyle w:val="ListParagraph"/>
        <w:numPr>
          <w:ilvl w:val="0"/>
          <w:numId w:val="4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成品照片（正面、侧光、填色前后对比，≥ 300 dpi）；</w:t>
      </w:r>
    </w:p>
    <w:p>
      <w:pPr>
        <w:pStyle w:val="ListParagraph"/>
        <w:numPr>
          <w:ilvl w:val="0"/>
          <w:numId w:val="4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工艺参数记录卡（用于售后追溯）；</w:t>
      </w:r>
    </w:p>
    <w:p>
      <w:pPr>
        <w:pStyle w:val="ListParagraph"/>
        <w:numPr>
          <w:ilvl w:val="0"/>
          <w:numId w:val="4"/>
        </w:numPr>
        <w:spacing w:after="60" w:line="320"/>
      </w:pPr>
      <w:r>
        <w:rPr>
          <w:rFonts w:ascii="Times New Roman" w:cs="Times New Roman" w:eastAsia="思源黑体" w:hAnsi="Times New Roman"/>
          <w:sz w:val="22"/>
          <w:szCs w:val="22"/>
        </w:rPr>
        <w:t xml:space="preserve">质保书：刻字本体 10 年，填色 2 年，石材防护 5 年。</w:t>
      </w:r>
    </w:p>
    <w:p>
      <w:pPr>
        <w:spacing w:after="120"/>
      </w:pPr>
    </w:p>
    <w:p>
      <w:pPr>
        <w:pBdr>
          <w:top w:val="single" w:color="2E5496" w:sz="6" w:space="6"/>
        </w:pBdr>
        <w:spacing w:after="60" w:before="200"/>
      </w:pPr>
      <w:r>
        <w:rPr>
          <w:rFonts w:ascii="Times New Roman" w:cs="Times New Roman" w:eastAsia="思源黑体" w:hAnsi="Times New Roman"/>
          <w:b/>
          <w:bCs/>
          <w:sz w:val="20"/>
          <w:szCs w:val="20"/>
        </w:rPr>
        <w:t xml:space="preserve">说明：</w:t>
      </w:r>
    </w:p>
    <w:p>
      <w:pPr>
        <w:spacing w:after="120" w:before="0" w:line="340"/>
        <w:jc w:val="both"/>
      </w:pPr>
      <w:r>
        <w:rPr>
          <w:rFonts w:ascii="Times New Roman" w:cs="Times New Roman" w:eastAsia="思源黑体" w:hAnsi="Times New Roman"/>
          <w:color w:val="555555"/>
          <w:sz w:val="20"/>
          <w:szCs w:val="20"/>
        </w:rPr>
        <w:t xml:space="preserve">本方案书适用于中国黑（黑色花岗岩）墓碑开放式喷砂刻字作业。实际操作中应根据石材具体批次、碑体尺寸、字体要求做参数微调；首次批量生产前必须用同料试刻确认。中国黑料性存在差异，色带/铁质集中区域应降压处理并加强发白检查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思源黑体" w:hAnsi="Times New Roman"/>
        <w:color w:val="888888"/>
        <w:sz w:val="16"/>
        <w:szCs w:val="16"/>
      </w:rPr>
      <w:t xml:space="preserve">第 </w:t>
    </w:r>
    <w:r>
      <w:rPr>
        <w:rFonts w:ascii="Times New Roman" w:cs="Times New Roman" w:eastAsia="思源黑体" w:hAnsi="Times New Roman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思源黑体" w:hAnsi="Times New Roman"/>
        <w:color w:val="888888"/>
        <w:sz w:val="16"/>
        <w:szCs w:val="16"/>
      </w:rPr>
      <w:t xml:space="preserve"> 页 / 共 </w:t>
    </w:r>
    <w:r>
      <w:rPr>
        <w:rFonts w:ascii="Times New Roman" w:cs="Times New Roman" w:eastAsia="思源黑体" w:hAnsi="Times New Roman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思源黑体" w:hAnsi="Times New Roman"/>
        <w:color w:val="888888"/>
        <w:sz w:val="16"/>
        <w:szCs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BBBBB" w:sz="4" w:space="2"/>
      </w:pBdr>
      <w:jc w:val="right"/>
    </w:pPr>
    <w:r>
      <w:rPr>
        <w:rFonts w:ascii="Times New Roman" w:cs="Times New Roman" w:eastAsia="思源黑体" w:hAnsi="Times New Roman"/>
        <w:color w:val="888888"/>
        <w:sz w:val="16"/>
        <w:szCs w:val="16"/>
      </w:rPr>
      <w:t xml:space="preserve">中国黑墓碑喷砂刻字技术方案书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0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思源黑体" w:hAnsi="Times New Roman"/>
        <w:sz w:val="22"/>
        <w:szCs w:val="22"/>
      </w:rPr>
    </w:rPrDefault>
    <w:pPrDefault>
      <w:pPr>
        <w:spacing w:line="3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3864" w:sz="8" w:space="4"/>
      </w:pBdr>
      <w:spacing w:after="160" w:before="280"/>
      <w:outlineLvl w:val="0"/>
    </w:pPr>
    <w:rPr>
      <w:rFonts w:ascii="Times New Roman" w:cs="Times New Roman" w:eastAsia="思源黑体" w:hAnsi="Times New Roman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Times New Roman" w:cs="Times New Roman" w:eastAsia="思源黑体" w:hAnsi="Times New Roman"/>
      <w:b/>
      <w:bCs/>
      <w:color w:val="2E549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2026-08-28T11:51:06.113Z</dcterms:created>
  <dcterms:modified xsi:type="dcterms:W3CDTF">2026-08-28T11:51:06.114Z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{"Label":"1","ContentProducer":"001191440300708461136T1WFUO","ProduceID":"f2b3ab8147ef3f6529a7ec367a12c107-5KCT","ReservedCode1":"{\"Type\":\" TC260PG\",\"Version\":1,\"Bindings\":[{\"Type\":\"soft\",\"AlgID\":\"sm3\",\"Value\":\"b4ce39578fc8d69d6df5a1e4a658e5c1fd89c9451a67684c85e6c8924d3b9757\"},{\"Type\":\"hash\",\"AlgID\":\"sm3\",\"Value\":\"a174870c49d24d9b41a593eb0f87fc5556e6bb8ba03d448f270927fd061d6aec\"}],\"PubSD\":[{\"Type\":\"DS\",\"AlgID\":\"sm2\",\"TBSData\":{\"Type\":\"Binding\",\"BType\":\"hash\"},\"Signature\":\"3045022100e5b9e19768ae1b7ef92b327c439a8203858a21cdcad895729a7e36e349532331022007af64268584f2f11d52af6f0c5c7def77d6c1931f3eeb9c9e1724adb91f740c\"},{\"Type\":\"PubKey\",\"AlgID\":\"sm2\",\"KeyValue\":\"0407f79b28a17a752b3aae4305c98b48978213832729a2571850b1310b2bc9fe8fee039ccf25ebfeac27502414d9fcef792d777183c98893d226171c2f7a3289a2\"}],\"Extension\":{\"Timestamp\":1787917905,\"KeyVersion\":\"v1-TxLeOmf7bqU223\"}}","ContentPropagator":"001191440300708461136T1WFUO","PropagateID":"f2b3ab8147ef3f6529a7ec367a12c107-5KCT","ReservedCode2":"{\"Type\":\" TC260PG\",\"Version\":1,\"Bindings\":[{\"Type\":\"soft\",\"AlgID\":\"sm3\",\"Value\":\"b4ce39578fc8d69d6df5a1e4a658e5c1fd89c9451a67684c85e6c8924d3b9757\"},{\"Type\":\"hash\",\"AlgID\":\"sm3\",\"Value\":\"a174870c49d24d9b41a593eb0f87fc5556e6bb8ba03d448f270927fd061d6aec\"}],\"PubSD\":[{\"Type\":\"DS\",\"AlgID\":\"sm2\",\"TBSData\":{\"Type\":\"Binding\",\"BType\":\"hash\"},\"Signature\":\"3046022100a56e3190b198270d29aeaa9a5c87d4bf83db581f93f2aa949c4aff157b28f513022100b4dcc093650d1a04f482afd786bc242002f2233955355b5f0e03a89d1cc01c91\"},{\"Type\":\"PubKey\",\"AlgID\":\"sm2\",\"KeyValue\":\"0407f79b28a17a752b3aae4305c98b48978213832729a2571850b1310b2bc9fe8fee039ccf25ebfeac27502414d9fcef792d777183c98893d226171c2f7a3289a2\"}],\"Extension\":{\"Timestamp\":1787917905,\"KeyVersion\":\"v1-TxLeOmf7bqU223\"}}"}</vt:lpwstr>
  </property>
</Properties>
</file>