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1F4E79"/>
          <w:sz w:val="28"/>
          <w:szCs w:val="28"/>
        </w:rPr>
        <w:t xml:space="preserve">目  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before="2600"/>
        <w:jc w:val="center"/>
      </w:pPr>
      <w:r>
        <w:rPr>
          <w:b/>
          <w:bCs/>
          <w:color w:val="1F4E79"/>
          <w:sz w:val="48"/>
          <w:szCs w:val="48"/>
        </w:rPr>
        <w:t xml:space="preserve">山西黑墓碑喷砂雕刻技术方案书</w:t>
      </w:r>
    </w:p>
    <w:p>
      <w:pPr>
        <w:spacing w:before="200"/>
        <w:jc w:val="center"/>
      </w:pPr>
      <w:r>
        <w:rPr>
          <w:color w:val="666666"/>
          <w:sz w:val="24"/>
          <w:szCs w:val="24"/>
        </w:rPr>
        <w:t xml:space="preserve">黑色花岗岩 · 开放式喷砂机刻字工艺 · SEO 优化标题版</w:t>
      </w:r>
    </w:p>
    <w:p>
      <w:pPr>
        <w:spacing w:before="120"/>
        <w:jc w:val="center"/>
      </w:pPr>
      <w:r>
        <w:rPr>
          <w:color w:val="888888"/>
          <w:sz w:val="18"/>
          <w:szCs w:val="18"/>
        </w:rPr>
        <w:t xml:space="preserve">Shanxi Black Granite Tombstone Sandblasting Engraving Technical Proposal</w:t>
      </w:r>
    </w:p>
    <w:p>
      <w:pPr>
        <w:spacing w:before="1600"/>
        <w:jc w:val="center"/>
      </w:pPr>
      <w:r>
        <w:rPr>
          <w:sz w:val="22"/>
          <w:szCs w:val="22"/>
        </w:rPr>
        <w:t xml:space="preserve">版本：V1.0</w:t>
      </w:r>
    </w:p>
    <w:p>
      <w:pPr>
        <w:jc w:val="center"/>
      </w:pPr>
      <w:r>
        <w:rPr>
          <w:sz w:val="22"/>
          <w:szCs w:val="22"/>
        </w:rPr>
        <w:t xml:space="preserve">编制日期：2026 年 08 月 28 日</w:t>
      </w:r>
    </w:p>
    <w:p>
      <w:pPr>
        <w:jc w:val="center"/>
      </w:pPr>
      <w:r>
        <w:rPr>
          <w:sz w:val="22"/>
          <w:szCs w:val="22"/>
        </w:rPr>
        <w:t xml:space="preserve">文档类型：施工技术 / 工程报审通用</w:t>
      </w:r>
    </w:p>
    <w:p>
      <w:r>
        <w:br w:type="page"/>
      </w:r>
    </w:p>
    <w:p>
      <w:pPr>
        <w:pStyle w:val="Heading1"/>
      </w:pPr>
      <w:r>
        <w:t xml:space="preserve">第 0 章  SEO 标题与关键词布局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本方案书面向网络推广与官网发布，采用 SEO 友好型标题体系，便于覆盖「山西黑 + 墓碑 + 喷砂雕刻」相关搜索流量。</w:t>
      </w:r>
    </w:p>
    <w:p>
      <w:pPr>
        <w:pStyle w:val="Heading2"/>
      </w:pPr>
      <w:r>
        <w:t xml:space="preserve">0.1 标题体系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类型</w:t>
            </w:r>
          </w:p>
        </w:tc>
        <w:tc>
          <w:tcPr>
            <w:tcW w:type="dxa" w:w="7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标题内容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主标题（SEO 首选）</w:t>
            </w:r>
          </w:p>
        </w:tc>
        <w:tc>
          <w:tcPr>
            <w:tcW w:type="dxa" w:w="7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山西黑墓碑喷砂雕刻技术方案书-黑色花岗岩刻字工艺详解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备选标题 1</w:t>
            </w:r>
          </w:p>
        </w:tc>
        <w:tc>
          <w:tcPr>
            <w:tcW w:type="dxa" w:w="7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山西黑墓碑喷砂雕刻工艺：开放式喷砂机刻字参数与施工流程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备选标题 2</w:t>
            </w:r>
          </w:p>
        </w:tc>
        <w:tc>
          <w:tcPr>
            <w:tcW w:type="dxa" w:w="7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黑色花岗岩（山西黑）墓碑喷砂刻字技术方案-设备选型与质量控制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备选标题 3</w:t>
            </w:r>
          </w:p>
        </w:tc>
        <w:tc>
          <w:tcPr>
            <w:tcW w:type="dxa" w:w="7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山西黑石材喷砂雕刻全流程：从掩膜贴膜到描金防护的专业方案</w:t>
            </w:r>
          </w:p>
        </w:tc>
      </w:tr>
    </w:tbl>
    <w:p>
      <w:pPr>
        <w:pStyle w:val="Heading2"/>
      </w:pPr>
      <w:r>
        <w:t xml:space="preserve">0.2 核心关键词清单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自然分布于正文，密度控制在合理区间（核心词 8–12 次，次要词 5–8 次）：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山西黑（核心：黑色花岗岩品种，硬度 6–7）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山西黑墓碑喷砂雕刻 / 黑色花岗岩喷砂刻字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开放式喷砂机、压入式干喷砂、棕刚玉磨料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黑色石材防发白、阴刻、描金填色、石材防护</w:t>
      </w:r>
    </w:p>
    <w:p>
      <w:pPr>
        <w:pStyle w:val="Heading2"/>
      </w:pPr>
      <w:r>
        <w:t xml:space="preserve">0.3 Meta 标签建议（用于网页发布）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标签</w:t>
            </w:r>
          </w:p>
        </w:tc>
        <w:tc>
          <w:tcPr>
            <w:tcW w:type="dxa" w:w="7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建议内容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Title Tag</w:t>
            </w:r>
          </w:p>
        </w:tc>
        <w:tc>
          <w:tcPr>
            <w:tcW w:type="dxa" w:w="7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山西黑墓碑喷砂雕刻技术方案书-黑色花岗岩刻字工艺详解_石材雕刻指南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Meta Description</w:t>
            </w:r>
          </w:p>
        </w:tc>
        <w:tc>
          <w:tcPr>
            <w:tcW w:type="dxa" w:w="7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专业山西黑（黑色花岗岩）墓碑喷砂雕刻技术方案，涵盖开放式喷砂机参数、棕刚玉磨料选型、黑色石材防发白工艺、描金填色与防护全流程，附质量控制与常见故障排除。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图片 ALT</w:t>
            </w:r>
          </w:p>
        </w:tc>
        <w:tc>
          <w:tcPr>
            <w:tcW w:type="dxa" w:w="7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山西黑墓碑喷砂刻字成品图、黑色花岗岩喷砂施工实拍、描金前后对比图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第一章  工程概况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项目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雕刻对象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山西黑墓碑主碑板 / 碑座 / 盖板，含姓名、生卒年月、悼词及福字、松鹤等图案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石材品种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山西黑（Black Shanxi / Shanxi Black），属黑色辉绿岩/辉长岩类花岗岩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石材特性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莫氏硬度 6–7，密度 2.9–3.1 g/cm³</w:t>
            </w:r>
          </w:p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细粒结构、质地均匀、抛光后纯黑发亮</w:t>
            </w:r>
          </w:p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抗风化、耐酸碱，户外耐候性优异（20–50 年）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设备形式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开放式移动喷砂机（工件固定、手持喷枪，配除尘回收）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工艺路线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掩膜遮蔽 + 高压干式喷砂阴刻 + 描金 / 填色 + 防护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质量目标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字深均匀、笔画锐利、黑色底面不泛白发灰、长期耐候</w:t>
            </w:r>
          </w:p>
        </w:tc>
      </w:tr>
    </w:tbl>
    <w:p>
      <w:pPr>
        <w:pStyle w:val="Heading2"/>
      </w:pPr>
      <w:r>
        <w:t xml:space="preserve">1.1 山西黑的工艺特殊性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山西黑为黑色花岗岩，硬度显著高于大理石，因此可采用较高气压与粗粒度磨料（如棕刚玉），雕刻效率高、边缘成型好。但其核心难点在于「防发白」——黑色矿物受冲击后易在槽底形成浅色粉化层，使刻字区域发灰、对比度下降；同时磨料金属碎屑易嵌入黑色石材微孔造成污染。本方案围绕这两个痛点设计参数与流程。</w:t>
      </w:r>
    </w:p>
    <w:p>
      <w:pPr>
        <w:pStyle w:val="Heading2"/>
      </w:pPr>
      <w:r>
        <w:t xml:space="preserve">1.2 工艺原理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在石材表面贴喷砂保护膜，按碑文矢量图镂空需刻除区域；压入式喷砂机以压缩空气推动棕刚玉/石榴砂，经耐磨喷嘴高速冲击镂空区，逐层剥离石材形成阴字凹槽；未镂空区由掩膜保护。深度由压力、砂目数、喷距、走枪速度与时长共同控制，遵循「先定边后精修、逐遍叠加」原则。</w:t>
      </w:r>
    </w:p>
    <w:p>
      <w:r>
        <w:br w:type="page"/>
      </w:r>
    </w:p>
    <w:p>
      <w:pPr>
        <w:pStyle w:val="Heading1"/>
      </w:pPr>
      <w:r>
        <w:t xml:space="preserve">第二章  设备与材料配置</w:t>
      </w:r>
    </w:p>
    <w:p>
      <w:pPr>
        <w:pStyle w:val="Heading2"/>
      </w:pPr>
      <w:r>
        <w:t xml:space="preserve">2.1 开放式喷砂机系统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360"/>
        <w:gridCol w:w="240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设备 / 部件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规格要求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空压机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排气量 ≥ 1.2 m³/min，压力 ≥ 0.8 MPa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储气罐 ≥ 0.3 m³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油水分离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三级过滤（冷冻干燥），含油 ≤ 0.1 mg/m³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露点 ≤ -40℃，防油污污染黑石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喷砂主机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压入式干喷砂机，容积 0.1–0.3 m³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带调压阀与远程开关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喷枪 / 喷嘴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碳化硼喷嘴，孔径 φ6–10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常规 φ6–8，精细 φ4–5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除尘系统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移动式滤筒除尘器，风量 ≥ 2000 m³/h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排放 ≤ 5 mg/m³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固定台架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可调倾角 0–90°，橡胶缓冲垫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防止碑体滑动磕碰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照明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作业面 ≥ 500 lux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侧光利于观察黑色表面</w:t>
            </w:r>
          </w:p>
        </w:tc>
      </w:tr>
    </w:tbl>
    <w:p>
      <w:pPr>
        <w:pStyle w:val="Heading2"/>
      </w:pPr>
      <w:r>
        <w:t xml:space="preserve">2.2 磨料选型（山西黑专用）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560"/>
        <w:gridCol w:w="3000"/>
        <w:gridCol w:w="3000"/>
      </w:tblGrid>
      <w:tr>
        <w:trPr>
          <w:tblHeader/>
        </w:trP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磨料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粒度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适用场景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棕刚玉（首选）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60–80 目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开槽、深雕（深 2–3 mm）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莫氏硬度 9，切削力强、效率高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棕刚玉 / 石榴砂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80–100 目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常规刻字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效率与细腻度平衡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石榴砂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100–150 目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小字、修边、浅雕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粉尘少、崩边风险低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石榴砂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150–180 目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末遍收面（防发白）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细砂轻扫，消除粉化层</w:t>
            </w:r>
          </w:p>
        </w:tc>
      </w:tr>
    </w:tbl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禁用：河砂（含泥结块）、玻璃珠（黑色石材切削力不足）、含铁质杂砂（嵌入微孔污染黑色表面）。磨料含水率 ≤ 2%，回收砂须过筛除粉后再用，复用 ≤ 3 次。</w:t>
      </w:r>
    </w:p>
    <w:p>
      <w:pPr>
        <w:pStyle w:val="Heading2"/>
      </w:pPr>
      <w:r>
        <w:t xml:space="preserve">2.3 掩膜与辅材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56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材料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规格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用途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PVC 喷砂保护膜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厚 0.2–0.5 mm，背胶型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主掩膜，耐冲击 ≥ 5 J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橡胶喷砂膜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厚 0.3–0.6 mm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曲面 / 异形雕刻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美纹纸胶带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宽 18–48 mm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膜边封边加固，防钻砂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描金 / 填色漆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石材专用耐候环氧金漆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附着力 ≥ 4B，UV ≥ 7 级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清洁剂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工业酒精 ≥ 95%、丙酮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脱脂、除残胶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渗透防护剂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氟硅类石材防护剂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六面封闭，降低吸水率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第三章  工艺参数（山西黑基准）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山西黑硬度高、韧性好，可用较高气压与粗砂快速成型；唯一约束是末遍必须用细砂收面以防发白。总字深常规 1.5–3.0 mm，极限 ≤ 5 mm。</w:t>
      </w:r>
    </w:p>
    <w:p>
      <w:pPr>
        <w:pStyle w:val="Heading2"/>
      </w:pPr>
      <w:r>
        <w:t xml:space="preserve">3.1 基准参数表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400"/>
        <w:gridCol w:w="2400"/>
        <w:gridCol w:w="2400"/>
      </w:tblGrid>
      <w:tr>
        <w:trPr>
          <w:tblHeader/>
        </w:trP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参数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常规刻字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深雕 / 粗体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小字 / 修边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气压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0.45–0.55 MPa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0.55–0.65 MPa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0.35–0.45 MPa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磨料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棕刚玉 80–100 目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棕刚玉 60–80 目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石榴砂 120–150 目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喷嘴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φ6–8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φ8–10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φ4–5 mm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喷距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120–180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100–150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150–220 mm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角度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垂直 / 30° 斜扫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垂直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45° 修边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走速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100–150 mm/s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80–120 mm/s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60–100 mm/s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单遍深度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0.5–0.8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0.8–1.2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0.3–0.4 mm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遍数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2–3 遍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3–5 遍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1–2 遍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最终深度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1.5–2.5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3.0–5.0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0.5–1.0 mm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末遍收面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150 目石榴砂轻扫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150 目石榴砂轻扫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180 目石榴砂轻扫</w:t>
            </w:r>
          </w:p>
        </w:tc>
      </w:tr>
    </w:tbl>
    <w:p>
      <w:pPr>
        <w:pStyle w:val="Heading2"/>
      </w:pPr>
      <w:r>
        <w:t xml:space="preserve">3.2 与大理石 / 普通花岗岩的参数差异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400"/>
        <w:gridCol w:w="2400"/>
        <w:gridCol w:w="2400"/>
      </w:tblGrid>
      <w:tr>
        <w:trPr>
          <w:tblHeader/>
        </w:trP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对比项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山西黑（本文）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普通花岗岩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大理石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硬度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6–7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6–7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3–4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首选磨料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棕刚玉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棕刚玉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石榴砂 / 玻璃珠（禁棕刚玉）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常规气压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0.45–0.55 MPa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0.4–0.6 MPa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0.15–0.40 MPa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单遍深度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0.5–0.8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0.5–1.0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0.2–0.5 mm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防发白处理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必须末遍细砂收面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建议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无需（本身浅色）</w:t>
            </w:r>
          </w:p>
        </w:tc>
      </w:tr>
      <w:tr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最大字深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≤ 5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≤ 4–5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≤ 3.5 mm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第四章  施工流程</w:t>
      </w:r>
    </w:p>
    <w:p>
      <w:pPr>
        <w:spacing w:after="120" w:line="340"/>
        <w:jc w:val="both"/>
      </w:pPr>
      <w:r>
        <w:rPr>
          <w:b/>
          <w:bCs/>
          <w:sz w:val="22"/>
          <w:szCs w:val="22"/>
        </w:rPr>
        <w:t xml:space="preserve">图纸确认 → 石材验收 → 清洁干燥 → 贴膜镂空 → 试喷定标 → 正式喷砂 → 撕膜清理 → 描金填色 → 防护 → 包装</w:t>
      </w:r>
    </w:p>
    <w:p>
      <w:pPr>
        <w:pStyle w:val="Heading2"/>
      </w:pPr>
      <w:r>
        <w:t xml:space="preserve">4.1 图纸确认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核对碑文内容、字体（楷/隶/魏碑/行书）、字号、排版，输出 1:1 矢量文件（DXF/AI）。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小字（&lt; 15 mm 高）放大确认笔画连通性；客户 / 家属签字留底。</w:t>
      </w:r>
    </w:p>
    <w:p>
      <w:pPr>
        <w:pStyle w:val="Heading2"/>
      </w:pPr>
      <w:r>
        <w:t xml:space="preserve">4.2 石材验收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外观：纯黑均匀、无白线 / 色带、无贯穿裂纹、无崩角（黑色石材色差与裂纹在抛光后极显眼，须严格挑选）。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物理指标：密度 ≥ 2.9 g/cm³，吸水率 ≤ 0.3%，干燥抗压 ≥ 150 MPa。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碑面平整度 ≤ 0.3 mm/m，刻字面含水率 ≤ 6%。</w:t>
      </w:r>
    </w:p>
    <w:p>
      <w:pPr>
        <w:pStyle w:val="Heading2"/>
      </w:pPr>
      <w:r>
        <w:t xml:space="preserve">4.3 表面预处理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酒精 / 丙酮擦拭脱蜡脱油 → 晾干 ≥ 15 min（或低温热风吹干 ≤ 60℃）→ 确认完全干燥无残留。山西黑抛光面蜡层较重，务必彻底脱脂，否则掩膜附着力差。</w:t>
      </w:r>
    </w:p>
    <w:p>
      <w:pPr>
        <w:pStyle w:val="Heading2"/>
      </w:pPr>
      <w:r>
        <w:t xml:space="preserve">4.4 贴膜与镂空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保护膜从中心向四周刮平，排除气泡（气泡处喷砂会穿透形成麻点）。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膜边用美纹纸压实封边，防止「钻砂」——黑色石材钻砂后形成浅色斑点，极难修复。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刻字机按 1:1 矢量图镂空，刀压恰好切透膜层不伤石材；撕去镂空残膜，细小笔画用镊子清理。</w:t>
      </w:r>
    </w:p>
    <w:p>
      <w:pPr>
        <w:pStyle w:val="Heading2"/>
      </w:pPr>
      <w:r>
        <w:t xml:space="preserve">4.5 试喷定标（关键）</w:t>
      </w:r>
    </w:p>
    <w:p>
      <w:pPr>
        <w:spacing w:after="120" w:line="340"/>
        <w:jc w:val="both"/>
      </w:pPr>
      <w:r>
        <w:rPr>
          <w:b w:val="false"/>
          <w:bCs w:val="false"/>
          <w:sz w:val="22"/>
          <w:szCs w:val="22"/>
        </w:rPr>
        <w:t xml:space="preserve">在同料边角料试刻 10×10 cm，检查：① 崩边情况；② 底部平整度；③ 是否发白 / 泛灰。据此固化参数并留样——这是山西黑防发白的第一道控制线。</w:t>
      </w:r>
    </w:p>
    <w:p>
      <w:pPr>
        <w:pStyle w:val="Heading2"/>
      </w:pPr>
      <w:r>
        <w:t xml:space="preserve">4.6 正式喷砂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先 45° 轻扫轮廓「定边」，再垂直入射逐遍加深（先深后浅、分次撕膜）。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走枪匀速「之」字形，笔画交叉处适当加快，避免坑洞。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每遍结束停机检查深度；末遍换 150–180 目细砂 + 低压（0.2–0.3 MPa）垂直轻扫收面，消除粉化发白层。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每 10 min 检查气压、出砂量与膜边；膜边翘起立即停机补胶。</w:t>
      </w:r>
    </w:p>
    <w:p>
      <w:pPr>
        <w:pStyle w:val="Heading2"/>
      </w:pPr>
      <w:r>
        <w:t xml:space="preserve">4.7 撕膜清理（防发白重点）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先关砂阀再关气源；小心撕膜（角度接近 180°）。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软毛刷 + 吸尘清粉；严禁高压气直吹（会把细粉 / 金属碎屑压入黑色微孔，造成永久性灰斑）。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酒精轻拭残胶；如仍有轻微发白，用 180 目细砂 + 低压干扫或专用石材清洗剂处理。</w:t>
      </w:r>
    </w:p>
    <w:p>
      <w:pPr>
        <w:pStyle w:val="Heading2"/>
      </w:pPr>
      <w:r>
        <w:t xml:space="preserve">4.8 描金 / 填色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喷砂后 24 h 内完成。石材专用金漆 / 彩漆，毛笔逐笔填入，半干时擦除溢出。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黑色碑体描金对比强烈、最显庄重；溢出在漆半干时清除，完全固化后易损伤碑面。固化 ≥ 48 h 方可搬运。</w:t>
      </w:r>
    </w:p>
    <w:p>
      <w:pPr>
        <w:pStyle w:val="Heading2"/>
      </w:pPr>
      <w:r>
        <w:t xml:space="preserve">4.9 防护与包装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六面涂刷氟硅防护剂（正面 2 道，其余各 1 道），间隔 30 min；山西黑吸水率低但防护可防后期水斑。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固化 ≥ 24 h 后覆保护膜 + 珍珠棉 + 木箱，标注「易碎·向上·防潮」。</w:t>
      </w:r>
    </w:p>
    <w:p>
      <w:r>
        <w:br w:type="page"/>
      </w:r>
    </w:p>
    <w:p>
      <w:pPr>
        <w:pStyle w:val="Heading1"/>
      </w:pPr>
      <w:r>
        <w:t xml:space="preserve">第五章  质量控制标准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560"/>
        <w:gridCol w:w="2400"/>
      </w:tblGrid>
      <w:tr>
        <w:trPr>
          <w:tblHeader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检验项目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标准要求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检验方法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内容准确性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与原稿 100% 一致，零误差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逐字对照确认单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笔画宽度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误差 ≤ ±0.3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游标卡尺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字深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同字 ≤ 0.3 mm，同版面 ≤ 0.5 mm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深度尺（0.01 mm）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边缘质量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无崩边、无缺口、无锯齿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目视 + 10× 放大镜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槽底色泽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纯黑不发白、无灰斑、无金属污染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侧光目视（关键项）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碑面保护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无砂痕、无残胶、无划伤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500 lux 目视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描金质量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饱满均匀、无漏填、无溢出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目视 + 指甲刮擦</w:t>
            </w:r>
          </w:p>
        </w:tc>
      </w:tr>
    </w:tbl>
    <w:p>
      <w:pPr>
        <w:pStyle w:val="Heading2"/>
      </w:pPr>
      <w:r>
        <w:t xml:space="preserve">5.1 防发白专项要求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末遍必须用 150–180 目细砂低压收面。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磨料严禁混用、严禁含铁质；回收砂除粉后复用。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清理只用吸尘 + 软刷，禁高压气直吹；发现灰斑即时返工。</w:t>
      </w:r>
    </w:p>
    <w:p>
      <w:r>
        <w:br w:type="page"/>
      </w:r>
    </w:p>
    <w:p>
      <w:pPr>
        <w:pStyle w:val="Heading1"/>
      </w:pPr>
      <w:r>
        <w:t xml:space="preserve">第六章  常见问题与对策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80"/>
        <w:gridCol w:w="3680"/>
      </w:tblGrid>
      <w:tr>
        <w:trPr>
          <w:tblHeader/>
        </w:trP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问题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产生原因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纠正措施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槽底发白 / 泛灰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砂目过粗、走速过慢、金属碎屑嵌入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末遍 180 目细砂低压收面、换洁净磨料、禁高压气吹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边缘崩口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气压过高、砂太粗、膜边未封实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降压、换细砂、45° 定边、美纹纸封边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底部波浪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走速不均、气压波动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检修空压机稳压阀、匀速走枪、多遍叠加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钻砂（膜下进砂）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贴膜有气泡、封边不严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重新清洁贴膜、高粘膜 + 美纹纸压实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小字糊边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喷嘴过大、单遍过深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换 φ4–5 + 100–150 目 + 45° 轻扫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描金脱落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槽内粉尘未清净、固化不足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彻底清粉、保证固化 ≥ 48 h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色差 / 白线显眼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石材挑选不严、抛光不一致</w:t>
            </w:r>
          </w:p>
        </w:tc>
        <w:tc>
          <w:tcPr>
            <w:tcW w:type="dxa" w:w="3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源头严选、统一抛光工艺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第七章  安全与环保</w:t>
      </w:r>
    </w:p>
    <w:p>
      <w:pPr>
        <w:pStyle w:val="Heading2"/>
      </w:pPr>
      <w:r>
        <w:t xml:space="preserve">7.1 人员防护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呼吸：开放式喷砂粉尘扩散大，须佩戴供气式头盔或 P100 防尘口罩。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眼部护目镜、听力耳塞（空压机 85–95 dB）、连体防尘服 + 橡胶手套 + 防滑鞋，禁化纤衣物。</w:t>
      </w:r>
    </w:p>
    <w:p>
      <w:pPr>
        <w:pStyle w:val="Heading2"/>
      </w:pPr>
      <w:r>
        <w:t xml:space="preserve">7.2 现场管理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2 m 防尘围挡，除尘器先开后关（停机后延时 ≥ 5 min）。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空压机每日排水排污，储气罐每周排污；喷嘴磨损 &gt; 15% 即换。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现场配洗眼器（距作业点 ≤ 15 m）与急救箱。</w:t>
      </w:r>
    </w:p>
    <w:p>
      <w:pPr>
        <w:pStyle w:val="Heading2"/>
      </w:pPr>
      <w:r>
        <w:t xml:space="preserve">7.3 环保要求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废砂 / 石粉袋装收集，交有资质单位处置，严禁倒入雨水管或土壤。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噪声、粉尘符合 GB 16297《大气污染物综合排放标准》及当地要求。</w:t>
      </w:r>
    </w:p>
    <w:p>
      <w:pPr>
        <w:pStyle w:val="Heading1"/>
      </w:pPr>
      <w:r>
        <w:t xml:space="preserve">第八章  设备维护与保养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436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部件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周期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维护内容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空气过滤器 / 油水分离器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每日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排污、检查滤芯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喷嘴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每班次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测孔径，磨损 &gt; 15% 更换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砂阀 / 调砂器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每周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清理砂道、检查密封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软管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每月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检查磨损、龟裂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除尘器滤筒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压差报警时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脉冲反吹或拆洗 / 更换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空压机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按厂家手册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换油、换滤芯、检查皮带</w:t>
            </w:r>
          </w:p>
        </w:tc>
      </w:tr>
    </w:tbl>
    <w:p>
      <w:pPr>
        <w:pStyle w:val="Heading1"/>
      </w:pPr>
      <w:r>
        <w:t xml:space="preserve">第九章  交付与验收资料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碑文确认单（客户签字原件）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石材材质证明（山西黑、产地、放射性 A 类报告）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石材物理性能检测报告（密度、吸水率、抗压强度）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试刻样板（附参数标签：气压 / 砂目 / 遍数 / 字深）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成品照片（正 / 侧 / 描金前后对比，≥ 300 dpi）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工艺参数记录卡（用于售后追溯）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sz w:val="22"/>
          <w:szCs w:val="22"/>
        </w:rPr>
        <w:t xml:space="preserve">质保书：刻字本体 10 年、描金 2 年、防护 5 年</w:t>
      </w:r>
    </w:p>
    <w:p>
      <w:pPr>
        <w:spacing w:before="240"/>
      </w:pPr>
      <w:r>
        <w:rPr>
          <w:i/>
          <w:iCs/>
          <w:color w:val="666666"/>
          <w:sz w:val="20"/>
          <w:szCs w:val="20"/>
        </w:rPr>
        <w:t xml:space="preserve">注：首次批量生产前必须用同料试刻确认参数；实际操作中根据碑体尺寸、字体要求微调。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第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页 / 共 </w:t>
    </w:r>
    <w:r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color w:val="888888"/>
        <w:sz w:val="16"/>
        <w:szCs w:val="16"/>
      </w:rPr>
      <w:t xml:space="preserve">山西黑墓碑喷砂雕刻技术方案书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思源黑体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E79" w:sz="6" w:space="4"/>
      </w:pBdr>
      <w:spacing w:after="160" w:before="280"/>
      <w:outlineLvl w:val="0"/>
    </w:pPr>
    <w:rPr>
      <w:rFonts w:ascii="Times New Roman" w:cs="Times New Roman" w:eastAsia="思源黑体" w:hAnsi="Times New Roman"/>
      <w:b/>
      <w:bCs/>
      <w:color w:val="1F4E7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Times New Roman" w:cs="Times New Roman" w:eastAsia="思源黑体" w:hAnsi="Times New Roman"/>
      <w:b/>
      <w:bCs/>
      <w:color w:val="2E5F9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2026-08-28T10:41:47.618Z</dcterms:created>
  <dcterms:modified xsi:type="dcterms:W3CDTF">2026-08-28T10:41:47.618Z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{"Label":"1","ContentProducer":"001191440300708461136T1WFUO","ProduceID":"33f19c47a6efe934ee29046b3cdcd321-Z0Gu","ReservedCode1":"{\"Type\":\" TC260PG\",\"Version\":1,\"Bindings\":[{\"Type\":\"soft\",\"AlgID\":\"sm3\",\"Value\":\"63a1ad286280d31198c2e86e5ef686a229c9958f0b3811a137387df64c12b13e\"},{\"Type\":\"hash\",\"AlgID\":\"sm3\",\"Value\":\"728de0a34453b76cde82e535ae920e6b557c3fb8c9b364e6576a956490f39f84\"}],\"PubSD\":[{\"Type\":\"DS\",\"AlgID\":\"sm2\",\"TBSData\":{\"Type\":\"Binding\",\"BType\":\"hash\"},\"Signature\":\"3045022100abbd2d6dbae578870f164774147f615faa065912ae16234b26b25363f7f4a8e9022031916fed5bcc543e7ddbc170b8b3949bb9b6316596146e47f3b5030b95f87868\"},{\"Type\":\"PubKey\",\"AlgID\":\"sm2\",\"KeyValue\":\"0407f79b28a17a752b3aae4305c98b48978213832729a2571850b1310b2bc9fe8fee039ccf25ebfeac27502414d9fcef792d777183c98893d226171c2f7a3289a2\"}],\"Extension\":{\"Timestamp\":1787913728,\"KeyVersion\":\"v1-TxLeOmf7bqU223\"}}","ContentPropagator":"001191440300708461136T1WFUO","PropagateID":"33f19c47a6efe934ee29046b3cdcd321-Z0Gu","ReservedCode2":"{\"Type\":\" TC260PG\",\"Version\":1,\"Bindings\":[{\"Type\":\"soft\",\"AlgID\":\"sm3\",\"Value\":\"63a1ad286280d31198c2e86e5ef686a229c9958f0b3811a137387df64c12b13e\"},{\"Type\":\"hash\",\"AlgID\":\"sm3\",\"Value\":\"728de0a34453b76cde82e535ae920e6b557c3fb8c9b364e6576a956490f39f84\"}],\"PubSD\":[{\"Type\":\"DS\",\"AlgID\":\"sm2\",\"TBSData\":{\"Type\":\"Binding\",\"BType\":\"hash\"},\"Signature\":\"3046022100da003b8431a209ee8da0ac78108280c142ff09810de0bd32003ae808747b6f9c022100f8b9d8cc9013ff8459cf362c9cfc8fad3b0f796035894209afc8a75391c3b276\"},{\"Type\":\"PubKey\",\"AlgID\":\"sm2\",\"KeyValue\":\"0407f79b28a17a752b3aae4305c98b48978213832729a2571850b1310b2bc9fe8fee039ccf25ebfeac27502414d9fcef792d777183c98893d226171c2f7a3289a2\"}],\"Extension\":{\"Timestamp\":1787913728,\"KeyVersion\":\"v1-TxLeOmf7bqU223\"}}"}</vt:lpwstr>
  </property>
</Properties>
</file>