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600"/>
      </w:pPr>
    </w:p>
    <w:p>
      <w:pPr>
        <w:spacing w:after="200"/>
        <w:jc w:val="center"/>
      </w:pPr>
      <w:r>
        <w:rPr>
          <w:b/>
          <w:bCs/>
          <w:color w:val="1F3864"/>
          <w:sz w:val="52"/>
          <w:szCs w:val="52"/>
        </w:rPr>
        <w:t xml:space="preserve">芝麻黑墓碑喷砂刻字技术方案书</w:t>
      </w:r>
    </w:p>
    <w:p>
      <w:pPr>
        <w:spacing w:after="120"/>
        <w:jc w:val="center"/>
      </w:pPr>
      <w:r>
        <w:rPr>
          <w:color w:val="2E75B6"/>
          <w:sz w:val="24"/>
          <w:szCs w:val="24"/>
        </w:rPr>
        <w:t xml:space="preserve">SEO 标题：芝麻黑墓碑喷砂刻字技术方案书-黑色花岗岩刻字工艺详解</w:t>
      </w:r>
    </w:p>
    <w:p>
      <w:pPr>
        <w:spacing w:after="600"/>
        <w:jc w:val="center"/>
      </w:pPr>
      <w:r>
        <w:rPr>
          <w:color w:val="555555"/>
          <w:sz w:val="24"/>
          <w:szCs w:val="24"/>
        </w:rPr>
        <w:t xml:space="preserve">（芝麻黑 / 芝麻灰 花岗岩 · 开放式喷砂机 · 阴刻 / 描金）</w:t>
      </w:r>
    </w:p>
    <w:p>
      <w:pPr>
        <w:pBdr>
          <w:top w:val="single" w:color="2E75B6" w:sz="6" w:space="4"/>
          <w:bottom w:val="single" w:color="2E75B6" w:sz="6" w:space="4"/>
        </w:pBdr>
        <w:spacing w:after="200" w:before="200"/>
        <w:jc w:val="center"/>
      </w:pPr>
      <w:r>
        <w:rPr>
          <w:b/>
          <w:bCs/>
          <w:color w:val="1F3864"/>
          <w:sz w:val="26"/>
          <w:szCs w:val="26"/>
        </w:rPr>
        <w:t xml:space="preserve">工艺技术文件 · 工程报审 / 车间作业通用</w:t>
      </w:r>
    </w:p>
    <w:p>
      <w:pPr>
        <w:spacing w:before="1400"/>
      </w:pPr>
    </w:p>
    <w:p>
      <w:pPr>
        <w:jc w:val="center"/>
      </w:pPr>
      <w:r>
        <w:rPr>
          <w:sz w:val="24"/>
          <w:szCs w:val="24"/>
        </w:rPr>
        <w:t xml:space="preserve">编制单位：石材雕刻工艺部</w:t>
      </w:r>
    </w:p>
    <w:p>
      <w:pPr>
        <w:spacing w:after="60"/>
        <w:jc w:val="center"/>
      </w:pPr>
      <w:r>
        <w:rPr>
          <w:sz w:val="24"/>
          <w:szCs w:val="24"/>
        </w:rPr>
        <w:t xml:space="preserve">文件编号：JS-PS-ZMH-2026</w:t>
      </w:r>
    </w:p>
    <w:p>
      <w:pPr>
        <w:spacing w:after="60"/>
        <w:jc w:val="center"/>
      </w:pPr>
      <w:r>
        <w:rPr>
          <w:sz w:val="24"/>
          <w:szCs w:val="24"/>
        </w:rPr>
        <w:t xml:space="preserve">版本 / 日期：V1.0 / 2026 年 08 月 29 日</w:t>
      </w:r>
    </w:p>
    <w:p>
      <w:r>
        <w:br w:type="page"/>
      </w:r>
    </w:p>
    <w:p>
      <w:pPr>
        <w:pStyle w:val="Heading1"/>
      </w:pPr>
      <w:r>
        <w:t xml:space="preserve">目录</w:t>
      </w:r>
    </w:p>
    <w:sdt>
      <w:sdtPr>
        <w:alias w:val="目录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第 0 章  SEO 标题与关键词布局</w:t>
      </w:r>
    </w:p>
    <w:p>
      <w:pPr>
        <w:spacing w:after="120" w:line="360"/>
        <w:jc w:val="both"/>
      </w:pPr>
      <w:r>
        <w:rPr>
          <w:b w:val="false"/>
          <w:bCs w:val="false"/>
        </w:rPr>
        <w:t xml:space="preserve">本方案书面向网络推广与官网发布，主标题已按搜索引擎优化规则设计，核心关键词自然融入正文，提升「芝麻黑墓碑」「喷砂刻字」等搜索词下的收录与排名。</w:t>
      </w:r>
    </w:p>
    <w:p>
      <w:pPr>
        <w:pStyle w:val="Heading2"/>
      </w:pPr>
      <w:r>
        <w:t xml:space="preserve">0.1  标题方案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rPr>
          <w:tblHeader/>
        </w:trPr>
        <w:tc>
          <w:tcPr>
            <w:tcW w:type="dxa" w:w="1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类型</w:t>
            </w:r>
          </w:p>
        </w:tc>
        <w:tc>
          <w:tcPr>
            <w:tcW w:type="dxa" w:w="7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标题内容</w:t>
            </w:r>
          </w:p>
        </w:tc>
      </w:tr>
      <w:tr>
        <w:tc>
          <w:tcPr>
            <w:tcW w:type="dxa" w:w="1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主标题（SEO 首选）</w:t>
            </w:r>
          </w:p>
        </w:tc>
        <w:tc>
          <w:tcPr>
            <w:tcW w:type="dxa" w:w="7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芝麻黑墓碑喷砂刻字技术方案书-黑色花岗岩刻字工艺详解</w:t>
            </w:r>
          </w:p>
        </w:tc>
      </w:tr>
      <w:tr>
        <w:tc>
          <w:tcPr>
            <w:tcW w:type="dxa" w:w="1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备选标题 1</w:t>
            </w:r>
          </w:p>
        </w:tc>
        <w:tc>
          <w:tcPr>
            <w:tcW w:type="dxa" w:w="7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芝麻黑花岗岩墓碑喷砂刻字工艺：开放式喷砂机操作全指南</w:t>
            </w:r>
          </w:p>
        </w:tc>
      </w:tr>
      <w:tr>
        <w:tc>
          <w:tcPr>
            <w:tcW w:type="dxa" w:w="1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备选标题 2</w:t>
            </w:r>
          </w:p>
        </w:tc>
        <w:tc>
          <w:tcPr>
            <w:tcW w:type="dxa" w:w="7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芝麻黑墓碑刻字教程-花岗岩喷砂雕刻参数与流程详解</w:t>
            </w:r>
          </w:p>
        </w:tc>
      </w:tr>
      <w:tr>
        <w:tc>
          <w:tcPr>
            <w:tcW w:type="dxa" w:w="1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备选标题 3</w:t>
            </w:r>
          </w:p>
        </w:tc>
        <w:tc>
          <w:tcPr>
            <w:tcW w:type="dxa" w:w="7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黑色花岗岩（芝麻黑）喷砂刻字施工方案-石材雕刻技术手册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0-1  SEO 标题方案</w:t>
      </w:r>
    </w:p>
    <w:p>
      <w:pPr>
        <w:pStyle w:val="Heading2"/>
      </w:pPr>
      <w:r>
        <w:t xml:space="preserve">0.2  核心关键词清单</w:t>
      </w:r>
    </w:p>
    <w:p>
      <w:pPr>
        <w:spacing w:after="120" w:line="360"/>
        <w:jc w:val="both"/>
      </w:pPr>
      <w:r>
        <w:rPr>
          <w:b w:val="false"/>
          <w:bCs w:val="false"/>
        </w:rPr>
        <w:t xml:space="preserve">芝麻黑墓碑、芝麻黑花岗岩、喷砂刻字、石材刻字工艺、开放式喷砂机、黑色花岗岩雕刻、阴刻描金、花岗岩墓碑防护。</w:t>
      </w:r>
    </w:p>
    <w:p>
      <w:pPr>
        <w:pBdr>
          <w:left w:val="single" w:color="C00000" w:sz="18" w:space="8"/>
        </w:pBdr>
        <w:shd w:fill="FDECEC" w:val="clear"/>
        <w:spacing w:after="160" w:before="80"/>
      </w:pPr>
      <w:r>
        <w:rPr>
          <w:b/>
          <w:bCs/>
          <w:color w:val="C00000"/>
        </w:rPr>
        <w:t xml:space="preserve">SEO 写作提示：核心词「芝麻黑喷砂刻字」正文出现 8–12 次，「芝麻黑花岗岩」6–8 次，「开放式喷砂机」5–7 次；关键词密度自然，避免堆砌。</w:t>
      </w:r>
    </w:p>
    <w:p>
      <w:pPr>
        <w:pStyle w:val="Heading2"/>
      </w:pPr>
      <w:r>
        <w:t xml:space="preserve">0.3  Meta 标签建议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Title Tag：芝麻黑墓碑喷砂刻字技术方案书-黑色花岗岩刻字工艺详解_石材雕刻指南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Meta Description：专业芝麻黑花岗岩墓碑喷砂刻字技术方案，涵盖开放式喷砂机参数、磨料选型、刻字全流程与防灰雾工艺。适用于芝麻黑/芝麻灰等黑色花岗岩，附常见故障排除与质量控制标准。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图片 ALT：芝麻黑墓碑喷砂刻字成品图、开放式喷砂机刻字操作实拍、芝麻黑刻字防灰雾收面对比图。</w:t>
      </w:r>
    </w:p>
    <w:p>
      <w:r>
        <w:br w:type="page"/>
      </w:r>
    </w:p>
    <w:p>
      <w:pPr>
        <w:pStyle w:val="Heading1"/>
      </w:pPr>
      <w:r>
        <w:t xml:space="preserve">第 1 章  工程概况</w:t>
      </w:r>
    </w:p>
    <w:p>
      <w:pPr>
        <w:pStyle w:val="Heading2"/>
      </w:pPr>
      <w:r>
        <w:t xml:space="preserve">1.1  项目概述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项目</w:t>
            </w:r>
          </w:p>
        </w:tc>
        <w:tc>
          <w:tcPr>
            <w:tcW w:type="dxa" w:w="6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内容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工艺对象</w:t>
            </w:r>
          </w:p>
        </w:tc>
        <w:tc>
          <w:tcPr>
            <w:tcW w:type="dxa" w:w="6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芝麻黑 / 芝麻灰花岗岩墓碑（主碑板、碑座、盖板）的文字、图案阴刻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石材属性</w:t>
            </w:r>
          </w:p>
        </w:tc>
        <w:tc>
          <w:tcPr>
            <w:tcW w:type="dxa" w:w="6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深色花岗岩，黑色基底 + 白色/浅灰星点（石英、长石斑晶）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工艺方法</w:t>
            </w:r>
          </w:p>
        </w:tc>
        <w:tc>
          <w:tcPr>
            <w:tcW w:type="dxa" w:w="6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掩膜遮蔽 + 干式喷砂阴刻 + 描金 / 填色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设备形式</w:t>
            </w:r>
          </w:p>
        </w:tc>
        <w:tc>
          <w:tcPr>
            <w:tcW w:type="dxa" w:w="6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开放式移动喷砂机（工件固定，手持喷枪作业）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质量目标</w:t>
            </w:r>
          </w:p>
        </w:tc>
        <w:tc>
          <w:tcPr>
            <w:tcW w:type="dxa" w:w="6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笔画清晰、边缘整齐、无崩边、槽底纯黑无灰雾、长期耐候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1-1  芝麻黑墓碑喷砂刻字项目概述</w:t>
      </w:r>
    </w:p>
    <w:p>
      <w:pPr>
        <w:pStyle w:val="Heading2"/>
      </w:pPr>
      <w:r>
        <w:t xml:space="preserve">1.2  芝麻黑材质特点（差异化要点）</w:t>
      </w:r>
    </w:p>
    <w:p>
      <w:pPr>
        <w:spacing w:after="120" w:line="360"/>
        <w:jc w:val="both"/>
      </w:pPr>
      <w:r>
        <w:rPr>
          <w:b w:val="false"/>
          <w:bCs w:val="false"/>
        </w:rPr>
        <w:t xml:space="preserve">芝麻黑属深色花岗岩（石英 + 钾长石 + 黑云母），硬度 6–7，整体性能接近山西黑/蒙古黑，但其显著特征是黑色基底上均匀分布白色/浅灰色星点（俗称「芝麻点」）。这一特征决定了喷砂工艺的三点特殊性：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星点区更易爆裂：白色长石斑晶较脆，粗砂高压下易「掉点」形成麻面，需控制单遍切削量。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灰雾风险高于纯黑石材：深色基质被冲击粉化后，与浅色星点混合形成「雾蒙蒙」的灰调，对比度下降，因此收面工艺不可省略。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批次色差需预判：不同矿口的芝麻黑黑度差异大（浅芝麻灰 ↔ 深芝麻黑），试喷定标必须同料进行，不可跨批次套用参数。</w:t>
      </w:r>
    </w:p>
    <w:p>
      <w:pPr>
        <w:pStyle w:val="Heading2"/>
      </w:pPr>
      <w:r>
        <w:t xml:space="preserve">1.3  核心难点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难点</w:t>
            </w:r>
          </w:p>
        </w:tc>
        <w:tc>
          <w:tcPr>
            <w:tcW w:type="dxa" w:w="69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说明与对策方向</w:t>
            </w:r>
          </w:p>
        </w:tc>
      </w:tr>
      <w:tr>
        <w:tc>
          <w:tcPr>
            <w:tcW w:type="dxa" w:w="24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防灰雾 / 发灰</w:t>
            </w:r>
          </w:p>
        </w:tc>
        <w:tc>
          <w:tcPr>
            <w:tcW w:type="dxa" w:w="69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深色基质粉化 + 星点暴露 → 细砂收面 + 低压快扫（见 3.2 节）</w:t>
            </w:r>
          </w:p>
        </w:tc>
      </w:tr>
      <w:tr>
        <w:tc>
          <w:tcPr>
            <w:tcW w:type="dxa" w:w="24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防星点崩落</w:t>
            </w:r>
          </w:p>
        </w:tc>
        <w:tc>
          <w:tcPr>
            <w:tcW w:type="dxa" w:w="69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长石斑晶脆 → 中等粒度、多遍叠加，避免单遍深挖</w:t>
            </w:r>
          </w:p>
        </w:tc>
      </w:tr>
      <w:tr>
        <w:tc>
          <w:tcPr>
            <w:tcW w:type="dxa" w:w="24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对比度保障</w:t>
            </w:r>
          </w:p>
        </w:tc>
        <w:tc>
          <w:tcPr>
            <w:tcW w:type="dxa" w:w="69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刻字区与碑面需形成明显反差 → 末遍玻璃珠收光提黑</w:t>
            </w:r>
          </w:p>
        </w:tc>
      </w:tr>
      <w:tr>
        <w:tc>
          <w:tcPr>
            <w:tcW w:type="dxa" w:w="24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描金附着力</w:t>
            </w:r>
          </w:p>
        </w:tc>
        <w:tc>
          <w:tcPr>
            <w:tcW w:type="dxa" w:w="69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花岗岩致密、槽底粉化层影响粘接 → 清粉彻底 + 专用底漆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1-2  芝麻黑喷砂核心难点</w:t>
      </w:r>
    </w:p>
    <w:p>
      <w:pPr>
        <w:pStyle w:val="Heading2"/>
      </w:pPr>
      <w:r>
        <w:t xml:space="preserve">1.4  工艺原理</w:t>
      </w:r>
    </w:p>
    <w:p>
      <w:pPr>
        <w:spacing w:after="120" w:line="360"/>
        <w:jc w:val="both"/>
      </w:pPr>
      <w:r>
        <w:rPr>
          <w:b w:val="false"/>
          <w:bCs w:val="false"/>
        </w:rPr>
        <w:t xml:space="preserve">在石材表面贴喷砂保护膜，按碑文矢量图镂空需刻除区域；压入式喷砂机以压缩空气推动磨料（棕刚玉/石榴砂），经耐磨喷嘴高速冲击镂空区，逐层剥离石材形成阴字凹槽；未镂空区由掩膜保护。深度由压力、砂目数、喷距、走枪速度与时长共同控制。芝麻黑遵循「中压、中细砂、多遍叠加」原则，兼顾效率与防灰雾。</w:t>
      </w:r>
    </w:p>
    <w:p>
      <w:r>
        <w:br w:type="page"/>
      </w:r>
    </w:p>
    <w:p>
      <w:pPr>
        <w:pStyle w:val="Heading1"/>
      </w:pPr>
      <w:r>
        <w:t xml:space="preserve">第 2 章  设备与材料配置</w:t>
      </w:r>
    </w:p>
    <w:p>
      <w:pPr>
        <w:pStyle w:val="Heading2"/>
      </w:pPr>
      <w:r>
        <w:t xml:space="preserve">2.1  开放式喷砂机系统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设备 / 部件</w:t>
            </w:r>
          </w:p>
        </w:tc>
        <w:tc>
          <w:tcPr>
            <w:tcW w:type="dxa" w:w="6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技术规格要求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空压机</w:t>
            </w:r>
          </w:p>
        </w:tc>
        <w:tc>
          <w:tcPr>
            <w:tcW w:type="dxa" w:w="6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排气量 ≥ 1.2 m³/min，压力 ≥ 0.8 MPa，配储气罐 + 冷冻干燥 + 三级油水分离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喷砂主机</w:t>
            </w:r>
          </w:p>
        </w:tc>
        <w:tc>
          <w:tcPr>
            <w:tcW w:type="dxa" w:w="6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压入式干喷砂机，容积 0.1–0.3 m³，带调压阀与远程开关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喷枪 / 喷嘴</w:t>
            </w:r>
          </w:p>
        </w:tc>
        <w:tc>
          <w:tcPr>
            <w:tcW w:type="dxa" w:w="6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碳化硼喷嘴，孔径 φ4–8 mm（常规 φ5–6，细节 φ4–5）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软管</w:t>
            </w:r>
          </w:p>
        </w:tc>
        <w:tc>
          <w:tcPr>
            <w:tcW w:type="dxa" w:w="6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内径 ≥ 25 mm 耐磨橡胶管，长度 ≤ 10 m（控制压降）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集尘系统</w:t>
            </w:r>
          </w:p>
        </w:tc>
        <w:tc>
          <w:tcPr>
            <w:tcW w:type="dxa" w:w="6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移动式滤筒除尘器，风量 ≥ 2000 m³/h，排放 ≤ 5 mg/m³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固定台架</w:t>
            </w:r>
          </w:p>
        </w:tc>
        <w:tc>
          <w:tcPr>
            <w:tcW w:type="dxa" w:w="6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可调倾角 0–90°，橡胶缓冲垫，防碑体滑动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2-1  开放式喷砂机系统配置</w:t>
      </w:r>
    </w:p>
    <w:p>
      <w:pPr>
        <w:pStyle w:val="Heading2"/>
      </w:pPr>
      <w:r>
        <w:t xml:space="preserve">2.2  磨料选型</w:t>
      </w:r>
    </w:p>
    <w:p>
      <w:pPr>
        <w:spacing w:after="120" w:line="360"/>
        <w:jc w:val="both"/>
      </w:pPr>
      <w:r>
        <w:rPr>
          <w:b w:val="false"/>
          <w:bCs w:val="false"/>
        </w:rPr>
        <w:t xml:space="preserve">芝麻黑硬度高，可选用棕刚玉等高效磨料，但受星点崩落限制，粒度不宜过粗：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2760"/>
        <w:gridCol w:w="2600"/>
      </w:tblGrid>
      <w:tr>
        <w:trPr>
          <w:tblHeader/>
        </w:trP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磨料</w:t>
            </w:r>
          </w:p>
        </w:tc>
        <w:tc>
          <w:tcPr>
            <w:tcW w:type="dxa" w:w="18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粒度</w:t>
            </w:r>
          </w:p>
        </w:tc>
        <w:tc>
          <w:tcPr>
            <w:tcW w:type="dxa" w:w="2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适用阶段</w:t>
            </w:r>
          </w:p>
        </w:tc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说明</w:t>
            </w:r>
          </w:p>
        </w:tc>
      </w:tr>
      <w:t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棕刚玉</w:t>
            </w:r>
          </w:p>
        </w:tc>
        <w:tc>
          <w:tcPr>
            <w:tcW w:type="dxa" w:w="18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60–80 目</w:t>
            </w:r>
          </w:p>
        </w:tc>
        <w:tc>
          <w:tcPr>
            <w:tcW w:type="dxa" w:w="2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粗雕开槽</w:t>
            </w:r>
          </w:p>
        </w:tc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效率高，仅用于大面积深雕</w:t>
            </w:r>
          </w:p>
        </w:tc>
      </w:tr>
      <w:t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石榴砂（推荐）</w:t>
            </w:r>
          </w:p>
        </w:tc>
        <w:tc>
          <w:tcPr>
            <w:tcW w:type="dxa" w:w="18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100–150 目</w:t>
            </w:r>
          </w:p>
        </w:tc>
        <w:tc>
          <w:tcPr>
            <w:tcW w:type="dxa" w:w="2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常规刻字 / 精修</w:t>
            </w:r>
          </w:p>
        </w:tc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切削适中，星点崩落风险低</w:t>
            </w:r>
          </w:p>
        </w:tc>
      </w:tr>
      <w:t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石榴砂 / 玻璃珠</w:t>
            </w:r>
          </w:p>
        </w:tc>
        <w:tc>
          <w:tcPr>
            <w:tcW w:type="dxa" w:w="18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150–180 目</w:t>
            </w:r>
          </w:p>
        </w:tc>
        <w:tc>
          <w:tcPr>
            <w:tcW w:type="dxa" w:w="2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收面</w:t>
            </w:r>
          </w:p>
        </w:tc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末遍必用，消除灰雾、提黑</w:t>
            </w:r>
          </w:p>
        </w:tc>
      </w:tr>
      <w:t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玻璃珠</w:t>
            </w:r>
          </w:p>
        </w:tc>
        <w:tc>
          <w:tcPr>
            <w:tcW w:type="dxa" w:w="18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100–120 目</w:t>
            </w:r>
          </w:p>
        </w:tc>
        <w:tc>
          <w:tcPr>
            <w:tcW w:type="dxa" w:w="27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浅雕 / 描金底</w:t>
            </w:r>
          </w:p>
        </w:tc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球形冲击，最不易崩点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2-2  芝麻黑磨料选型</w:t>
      </w:r>
    </w:p>
    <w:p>
      <w:pPr>
        <w:pBdr>
          <w:left w:val="single" w:color="C00000" w:sz="18" w:space="8"/>
        </w:pBdr>
        <w:shd w:fill="FDECEC" w:val="clear"/>
        <w:spacing w:after="160" w:before="80"/>
      </w:pPr>
      <w:r>
        <w:rPr>
          <w:b/>
          <w:bCs/>
          <w:color w:val="C00000"/>
        </w:rPr>
        <w:t xml:space="preserve">严禁使用：河砂（含泥结块）、金属丸（污染石材、易生锈）、玻璃碎料（成分不均）。回收砂需过筛除粉，复用 ≤ 3 次。</w:t>
      </w:r>
    </w:p>
    <w:p>
      <w:pPr>
        <w:pStyle w:val="Heading2"/>
      </w:pPr>
      <w:r>
        <w:t xml:space="preserve">2.3  掩膜与辅材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00"/>
        <w:gridCol w:w="3560"/>
      </w:tblGrid>
      <w:tr>
        <w:trPr>
          <w:tblHeader/>
        </w:trP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材料</w:t>
            </w:r>
          </w:p>
        </w:tc>
        <w:tc>
          <w:tcPr>
            <w:tcW w:type="dxa" w:w="3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规格</w:t>
            </w:r>
          </w:p>
        </w:tc>
        <w:tc>
          <w:tcPr>
            <w:tcW w:type="dxa" w:w="35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用途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PVC 喷砂保护膜</w:t>
            </w:r>
          </w:p>
        </w:tc>
        <w:tc>
          <w:tcPr>
            <w:tcW w:type="dxa" w:w="3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厚 0.2–0.5 mm，背胶型</w:t>
            </w:r>
          </w:p>
        </w:tc>
        <w:tc>
          <w:tcPr>
            <w:tcW w:type="dxa" w:w="35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主掩膜，耐冲击 ≥ 3 J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美纹纸胶带</w:t>
            </w:r>
          </w:p>
        </w:tc>
        <w:tc>
          <w:tcPr>
            <w:tcW w:type="dxa" w:w="3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宽 18–48 mm</w:t>
            </w:r>
          </w:p>
        </w:tc>
        <w:tc>
          <w:tcPr>
            <w:tcW w:type="dxa" w:w="35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膜边封边，防钻砂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石材专用彩漆</w:t>
            </w:r>
          </w:p>
        </w:tc>
        <w:tc>
          <w:tcPr>
            <w:tcW w:type="dxa" w:w="3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改性环氧 / 聚氨酯</w:t>
            </w:r>
          </w:p>
        </w:tc>
        <w:tc>
          <w:tcPr>
            <w:tcW w:type="dxa" w:w="35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描金 / 填色，附着力 ≥ 4B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工业酒精 / 丙酮</w:t>
            </w:r>
          </w:p>
        </w:tc>
        <w:tc>
          <w:tcPr>
            <w:tcW w:type="dxa" w:w="3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≥ 95%</w:t>
            </w:r>
          </w:p>
        </w:tc>
        <w:tc>
          <w:tcPr>
            <w:tcW w:type="dxa" w:w="35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脱脂、除残胶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氟硅防护剂</w:t>
            </w:r>
          </w:p>
        </w:tc>
        <w:tc>
          <w:tcPr>
            <w:tcW w:type="dxa" w:w="3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渗透型</w:t>
            </w:r>
          </w:p>
        </w:tc>
        <w:tc>
          <w:tcPr>
            <w:tcW w:type="dxa" w:w="35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六面封闭，降低吸水率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2-3  掩膜与辅材</w:t>
      </w:r>
    </w:p>
    <w:p>
      <w:r>
        <w:br w:type="page"/>
      </w:r>
    </w:p>
    <w:p>
      <w:pPr>
        <w:pStyle w:val="Heading1"/>
      </w:pPr>
      <w:r>
        <w:t xml:space="preserve">第 3 章  工艺参数</w:t>
      </w:r>
    </w:p>
    <w:p>
      <w:pPr>
        <w:pStyle w:val="Heading2"/>
      </w:pPr>
      <w:r>
        <w:t xml:space="preserve">3.1  基准参数表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840"/>
        <w:gridCol w:w="1840"/>
        <w:gridCol w:w="1840"/>
        <w:gridCol w:w="1840"/>
      </w:tblGrid>
      <w:tr>
        <w:trPr>
          <w:tblHeader/>
        </w:trP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参数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常规字(≥30mm)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精细小字(10–30mm)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深雕(≥80mm)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收面（必做）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气压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0.40–0.55 MPa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0.25–0.40 MPa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0.50–0.65 MPa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0.20–0.30 MPa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磨料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石榴砂 100–120目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石榴砂 150–180目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棕刚玉 60–80目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玻璃珠/石榴砂 150–180目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喷嘴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φ5–6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φ4–5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φ6–8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φ4–5 mm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喷距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100–160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120–180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80–140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120–180 mm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角度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垂直 / 30°斜扫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45°轻扫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垂直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45°快扫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走速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120–160 mm/s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80–120 mm/s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80–120 mm/s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150–220 mm/s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单遍深度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0.4–0.6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0.2–0.3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0.8–1.2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≤ 0.1 mm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遍数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2–3 遍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1–2 遍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3–5 遍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 遍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最终深度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1.0–1.5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0.5–1.0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2.5–4.0 mm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表面修整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3-1  芝麻黑喷砂基准参数表</w:t>
      </w:r>
    </w:p>
    <w:p>
      <w:pPr>
        <w:pBdr>
          <w:left w:val="single" w:color="C00000" w:sz="18" w:space="8"/>
        </w:pBdr>
        <w:shd w:fill="FDECEC" w:val="clear"/>
        <w:spacing w:after="160" w:before="80"/>
      </w:pPr>
      <w:r>
        <w:rPr>
          <w:b/>
          <w:bCs/>
          <w:color w:val="C00000"/>
        </w:rPr>
        <w:t xml:space="preserve">红线：常规刻字气压 ≤ 0.65 MPa，总深度 ≤ 4.0 mm；星点密集区气压下调 10–15%，防止掉点麻面。</w:t>
      </w:r>
    </w:p>
    <w:p>
      <w:pPr>
        <w:pStyle w:val="Heading2"/>
      </w:pPr>
      <w:r>
        <w:t xml:space="preserve">3.2  防灰雾三阶段控制表（芝麻黑专项）</w:t>
      </w:r>
    </w:p>
    <w:p>
      <w:pPr>
        <w:spacing w:after="120" w:line="360"/>
        <w:jc w:val="both"/>
      </w:pPr>
      <w:r>
        <w:rPr>
          <w:b w:val="false"/>
          <w:bCs w:val="false"/>
        </w:rPr>
        <w:t xml:space="preserve">芝麻黑刻字成败的关键在于「收面」——粗雕/精修留下的粉化层若不清除，干燥后会呈现灰雾状，严重削弱刻字与碑面的对比度。因此必须严格执行三阶段工艺：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2000"/>
        <w:gridCol w:w="1780"/>
        <w:gridCol w:w="1780"/>
      </w:tblGrid>
      <w:tr>
        <w:trPr>
          <w:tblHeader/>
        </w:trPr>
        <w:tc>
          <w:tcPr>
            <w:tcW w:type="dxa" w:w="18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阶段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气压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磨料</w:t>
            </w:r>
          </w:p>
        </w:tc>
        <w:tc>
          <w:tcPr>
            <w:tcW w:type="dxa" w:w="17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走速</w:t>
            </w:r>
          </w:p>
        </w:tc>
        <w:tc>
          <w:tcPr>
            <w:tcW w:type="dxa" w:w="17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目的</w:t>
            </w:r>
          </w:p>
        </w:tc>
      </w:tr>
      <w:tr>
        <w:tc>
          <w:tcPr>
            <w:tcW w:type="dxa" w:w="18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① 粗雕开槽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0.50–0.65 MPa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棕刚玉 60–80目</w:t>
            </w:r>
          </w:p>
        </w:tc>
        <w:tc>
          <w:tcPr>
            <w:tcW w:type="dxa" w:w="17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100–140 mm/s</w:t>
            </w:r>
          </w:p>
        </w:tc>
        <w:tc>
          <w:tcPr>
            <w:tcW w:type="dxa" w:w="17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快速建立深度与轮廓</w:t>
            </w:r>
          </w:p>
        </w:tc>
      </w:tr>
      <w:tr>
        <w:tc>
          <w:tcPr>
            <w:tcW w:type="dxa" w:w="18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② 精修成形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0.35–0.50 MPa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石榴砂 120–150目</w:t>
            </w:r>
          </w:p>
        </w:tc>
        <w:tc>
          <w:tcPr>
            <w:tcW w:type="dxa" w:w="17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120–160 mm/s</w:t>
            </w:r>
          </w:p>
        </w:tc>
        <w:tc>
          <w:tcPr>
            <w:tcW w:type="dxa" w:w="17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修整笔画、控制星点崩落</w:t>
            </w:r>
          </w:p>
        </w:tc>
      </w:tr>
      <w:tr>
        <w:tc>
          <w:tcPr>
            <w:tcW w:type="dxa" w:w="18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③ 收面提黑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0.20–0.30 MPa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玻璃珠/石榴砂 150–180目</w:t>
            </w:r>
          </w:p>
        </w:tc>
        <w:tc>
          <w:tcPr>
            <w:tcW w:type="dxa" w:w="17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150–220 mm/s</w:t>
            </w:r>
          </w:p>
        </w:tc>
        <w:tc>
          <w:tcPr>
            <w:tcW w:type="dxa" w:w="17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削除粉化层、恢复纯黑、增对比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3-2  芝麻黑防灰雾三阶段控制表</w:t>
      </w:r>
    </w:p>
    <w:p>
      <w:pPr>
        <w:pBdr>
          <w:left w:val="single" w:color="C00000" w:sz="18" w:space="8"/>
        </w:pBdr>
        <w:shd w:fill="FDECEC" w:val="clear"/>
        <w:spacing w:after="160" w:before="80"/>
      </w:pPr>
      <w:r>
        <w:rPr>
          <w:b/>
          <w:bCs/>
          <w:color w:val="C00000"/>
        </w:rPr>
        <w:t xml:space="preserve">阶段③为芝麻黑（含星点花岗岩）必做工序，不可省略；末遍走速要快、砂要细、压要低，仅做表面轻微切削。</w:t>
      </w:r>
    </w:p>
    <w:p>
      <w:pPr>
        <w:pStyle w:val="Heading2"/>
      </w:pPr>
      <w:r>
        <w:t xml:space="preserve">3.3  相近黑色石材参数对比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840"/>
        <w:gridCol w:w="1840"/>
        <w:gridCol w:w="1840"/>
        <w:gridCol w:w="1840"/>
      </w:tblGrid>
      <w:tr>
        <w:trPr>
          <w:tblHeader/>
        </w:trP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对比项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芝麻黑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山西黑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蒙古黑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中国黑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基底特征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黑底+白星点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纯黑细密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黑而均匀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黑、颗粒略粗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硬度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6–7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6–7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6–7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6–7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磨料策略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中细砂为主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可用棕刚玉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棕刚玉+收面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棕刚玉粗+收面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发灰风险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中-高（星点混合）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中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中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中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收面要求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必做（关键）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必做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必做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必做</w:t>
            </w:r>
          </w:p>
        </w:tc>
      </w:tr>
      <w:tr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描金对比度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高（黑底衬金）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极高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高</w:t>
            </w:r>
          </w:p>
        </w:tc>
        <w:tc>
          <w:tcPr>
            <w:tcW w:type="dxa" w:w="184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高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3-3  相近黑色石材参数对比（发灰风险与收面要求凸显芝麻黑特殊性）</w:t>
      </w:r>
    </w:p>
    <w:p>
      <w:r>
        <w:br w:type="page"/>
      </w:r>
    </w:p>
    <w:p>
      <w:pPr>
        <w:pStyle w:val="Heading1"/>
      </w:pPr>
      <w:r>
        <w:t xml:space="preserve">第 4 章  施工流程</w:t>
      </w:r>
    </w:p>
    <w:p>
      <w:pPr>
        <w:spacing w:after="120" w:line="360"/>
        <w:jc w:val="both"/>
      </w:pPr>
      <w:r>
        <w:rPr>
          <w:b w:val="false"/>
          <w:bCs w:val="false"/>
        </w:rPr>
        <w:t xml:space="preserve">流程：图纸确认 → 石材检查 → 清洁干燥 → 贴膜镂空 → 试喷定标 → 正式喷砂（三阶段）→ 撕膜清理 → 描金填色 → 防护包装。</w:t>
      </w:r>
    </w:p>
    <w:p>
      <w:pPr>
        <w:pStyle w:val="Heading2"/>
      </w:pPr>
      <w:r>
        <w:t xml:space="preserve">4.1  图纸确认与石材检查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核对碑文内容、字体、字号、排版，输出 1:1 矢量文件（DXF/AI），客户签字留底。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透光/敲击检查无暗裂、无贯穿裂纹；平整度 ≤ 0.3 mm/m；含水率 ≤ 8%；同批次黑度一致。</w:t>
      </w:r>
    </w:p>
    <w:p>
      <w:pPr>
        <w:pStyle w:val="Heading2"/>
      </w:pPr>
      <w:r>
        <w:t xml:space="preserve">4.2  清洁、贴膜与镂空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酒精/丙酮擦拭脱脂 → 晾干 ≥ 15 min，确保完全干燥。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贴 PVC 保护膜，从中心向四周刮平排气泡；膜边用美纹纸压实封边（防钻砂）。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刻字机按 1:1 矢量图镂空，刀压恰好切透膜层不伤石材；撕去文字区残膜。</w:t>
      </w:r>
    </w:p>
    <w:p>
      <w:pPr>
        <w:pStyle w:val="Heading2"/>
      </w:pPr>
      <w:r>
        <w:t xml:space="preserve">4.3  试喷定标（同料必做）</w:t>
      </w:r>
    </w:p>
    <w:p>
      <w:pPr>
        <w:spacing w:after="120" w:line="360"/>
        <w:jc w:val="both"/>
      </w:pPr>
      <w:r>
        <w:rPr>
          <w:b w:val="false"/>
          <w:bCs w:val="false"/>
        </w:rPr>
        <w:t xml:space="preserve">在碑体非关键区域或同料边角料试刻 10×10 cm，模拟实际字体，检查：① 星点是否掉点、麻面；② 槽底灰雾程度；③ 边缘清晰度。据此固化参数并留样。</w:t>
      </w:r>
    </w:p>
    <w:p>
      <w:pPr>
        <w:pStyle w:val="Heading2"/>
      </w:pPr>
      <w:r>
        <w:t xml:space="preserve">4.4  正式喷砂（三阶段操作）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阶段①粗雕：较高压 + 粗砂，快速扫出轮廓与最大深度，建立层次框架。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阶段②精修：中压 + 石榴砂，匀速走枪修整笔画，星点密集区降压、加快走速。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阶段③收面：低压 + 150–180 目细砂/玻璃珠快扫全部刻字区，削除粉化层、提黑增对比。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过程每 10 min 检查气压、出砂量与膜边；交叉笔画处加快走速，避免过深成坑。</w:t>
      </w:r>
    </w:p>
    <w:p>
      <w:pPr>
        <w:pStyle w:val="Heading2"/>
      </w:pPr>
      <w:r>
        <w:t xml:space="preserve">4.5  黑色石材专项清理</w:t>
      </w:r>
    </w:p>
    <w:p>
      <w:pPr>
        <w:pBdr>
          <w:left w:val="single" w:color="C00000" w:sz="18" w:space="8"/>
        </w:pBdr>
        <w:shd w:fill="FDECEC" w:val="clear"/>
        <w:spacing w:after="160" w:before="80"/>
      </w:pPr>
      <w:r>
        <w:rPr>
          <w:b/>
          <w:bCs/>
          <w:color w:val="C00000"/>
        </w:rPr>
        <w:t xml:space="preserve">严禁高压气枪直吹槽底！花岗岩致密、微孔细小，高压气会把细粉压入微孔形成永久灰斑。正确做法：软毛刷 + 吸尘器清粉 → 酒精棉轻拭 → 晾干。</w:t>
      </w:r>
    </w:p>
    <w:p>
      <w:pPr>
        <w:pStyle w:val="Heading2"/>
      </w:pPr>
      <w:r>
        <w:t xml:space="preserve">4.6  描金 / 填色与防护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喷砂后 24 h 内描金：石材专用金漆 + 配套底漆，毛笔逐笔填入，半干擦除溢出。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六面涂刷氟硅防护剂（正面 2 道，其余 1 道），固化 ≥ 24 h 后包装发货。</w:t>
      </w:r>
    </w:p>
    <w:p>
      <w:r>
        <w:br w:type="page"/>
      </w:r>
    </w:p>
    <w:p>
      <w:pPr>
        <w:pStyle w:val="Heading1"/>
      </w:pPr>
      <w:r>
        <w:t xml:space="preserve">第 5 章  质量控制标准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600"/>
        <w:gridCol w:w="3160"/>
      </w:tblGrid>
      <w:tr>
        <w:trPr>
          <w:tblHeader/>
        </w:trP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检验项目</w:t>
            </w:r>
          </w:p>
        </w:tc>
        <w:tc>
          <w:tcPr>
            <w:tcW w:type="dxa" w:w="3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标准要求</w:t>
            </w:r>
          </w:p>
        </w:tc>
        <w:tc>
          <w:tcPr>
            <w:tcW w:type="dxa" w:w="31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检验方法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内容准确性</w:t>
            </w:r>
          </w:p>
        </w:tc>
        <w:tc>
          <w:tcPr>
            <w:tcW w:type="dxa" w:w="3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与原稿 100% 一致，零误差</w:t>
            </w:r>
          </w:p>
        </w:tc>
        <w:tc>
          <w:tcPr>
            <w:tcW w:type="dxa" w:w="31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逐字对照确认单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笔画宽度</w:t>
            </w:r>
          </w:p>
        </w:tc>
        <w:tc>
          <w:tcPr>
            <w:tcW w:type="dxa" w:w="3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误差 ≤ ±0.3 mm</w:t>
            </w:r>
          </w:p>
        </w:tc>
        <w:tc>
          <w:tcPr>
            <w:tcW w:type="dxa" w:w="31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游标卡尺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字深均匀</w:t>
            </w:r>
          </w:p>
        </w:tc>
        <w:tc>
          <w:tcPr>
            <w:tcW w:type="dxa" w:w="3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同字深差 ≤ 0.3 mm，版面 ≤ 0.8 mm</w:t>
            </w:r>
          </w:p>
        </w:tc>
        <w:tc>
          <w:tcPr>
            <w:tcW w:type="dxa" w:w="31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深度尺（0.01 mm）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边缘质量</w:t>
            </w:r>
          </w:p>
        </w:tc>
        <w:tc>
          <w:tcPr>
            <w:tcW w:type="dxa" w:w="3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无崩边、无掉点、无锯齿</w:t>
            </w:r>
          </w:p>
        </w:tc>
        <w:tc>
          <w:tcPr>
            <w:tcW w:type="dxa" w:w="31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目视 + 10× 放大镜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槽底色度（专项）</w:t>
            </w:r>
          </w:p>
        </w:tc>
        <w:tc>
          <w:tcPr>
            <w:tcW w:type="dxa" w:w="3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无发灰、无灰雾，纯黑均匀；强光侧照无明显灰斑</w:t>
            </w:r>
          </w:p>
        </w:tc>
        <w:tc>
          <w:tcPr>
            <w:tcW w:type="dxa" w:w="31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侧光目视 / 色差仪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描金饱满度</w:t>
            </w:r>
          </w:p>
        </w:tc>
        <w:tc>
          <w:tcPr>
            <w:tcW w:type="dxa" w:w="3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饱满均匀、无漏填、无溢出、无气泡</w:t>
            </w:r>
          </w:p>
        </w:tc>
        <w:tc>
          <w:tcPr>
            <w:tcW w:type="dxa" w:w="31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目视 + 指甲刮擦</w:t>
            </w:r>
          </w:p>
        </w:tc>
      </w:tr>
      <w:tr>
        <w:tc>
          <w:tcPr>
            <w:tcW w:type="dxa" w:w="2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碑面保护</w:t>
            </w:r>
          </w:p>
        </w:tc>
        <w:tc>
          <w:tcPr>
            <w:tcW w:type="dxa" w:w="36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非刻字区无砂痕、无残胶、无划伤</w:t>
            </w:r>
          </w:p>
        </w:tc>
        <w:tc>
          <w:tcPr>
            <w:tcW w:type="dxa" w:w="31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500 lux 照明目视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5-1  芝麻黑刻字质量控制标准（「槽底色度」为防灰雾专项验收项）</w:t>
      </w:r>
    </w:p>
    <w:p>
      <w:r>
        <w:br w:type="page"/>
      </w:r>
    </w:p>
    <w:p>
      <w:pPr>
        <w:pStyle w:val="Heading1"/>
      </w:pPr>
      <w:r>
        <w:t xml:space="preserve">第 6 章  常见问题与对策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80"/>
        <w:gridCol w:w="3680"/>
      </w:tblGrid>
      <w:tr>
        <w:trPr>
          <w:tblHeader/>
        </w:trP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问题</w:t>
            </w:r>
          </w:p>
        </w:tc>
        <w:tc>
          <w:tcPr>
            <w:tcW w:type="dxa" w:w="34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产生原因</w:t>
            </w:r>
          </w:p>
        </w:tc>
        <w:tc>
          <w:tcPr>
            <w:tcW w:type="dxa" w:w="36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纠正措施</w:t>
            </w:r>
          </w:p>
        </w:tc>
      </w:tr>
      <w:t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槽底发灰/灰雾</w:t>
            </w:r>
          </w:p>
        </w:tc>
        <w:tc>
          <w:tcPr>
            <w:tcW w:type="dxa" w:w="34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粉化层未清除、砂目过粗</w:t>
            </w:r>
          </w:p>
        </w:tc>
        <w:tc>
          <w:tcPr>
            <w:tcW w:type="dxa" w:w="36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末遍 150–180 目细砂/玻璃珠低压快扫收面</w:t>
            </w:r>
          </w:p>
        </w:tc>
      </w:tr>
      <w:t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星点掉点/麻面</w:t>
            </w:r>
          </w:p>
        </w:tc>
        <w:tc>
          <w:tcPr>
            <w:tcW w:type="dxa" w:w="34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砂过粗、压过高、单遍过深</w:t>
            </w:r>
          </w:p>
        </w:tc>
        <w:tc>
          <w:tcPr>
            <w:tcW w:type="dxa" w:w="36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换 120–150 目、降压、多遍叠加</w:t>
            </w:r>
          </w:p>
        </w:tc>
      </w:tr>
      <w:t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边缘崩口</w:t>
            </w:r>
          </w:p>
        </w:tc>
        <w:tc>
          <w:tcPr>
            <w:tcW w:type="dxa" w:w="34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垂直猛打、膜边未封实</w:t>
            </w:r>
          </w:p>
        </w:tc>
        <w:tc>
          <w:tcPr>
            <w:tcW w:type="dxa" w:w="36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先 45° 定边、美纹纸封边、降压</w:t>
            </w:r>
          </w:p>
        </w:tc>
      </w:tr>
      <w:t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对比度不足</w:t>
            </w:r>
          </w:p>
        </w:tc>
        <w:tc>
          <w:tcPr>
            <w:tcW w:type="dxa" w:w="34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收面不到位、清粉不净</w:t>
            </w:r>
          </w:p>
        </w:tc>
        <w:tc>
          <w:tcPr>
            <w:tcW w:type="dxa" w:w="36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强化阶段③ + 酒精彻底清粉</w:t>
            </w:r>
          </w:p>
        </w:tc>
      </w:tr>
      <w:t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描金脱落</w:t>
            </w:r>
          </w:p>
        </w:tc>
        <w:tc>
          <w:tcPr>
            <w:tcW w:type="dxa" w:w="34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槽底粉化层影响粘接</w:t>
            </w:r>
          </w:p>
        </w:tc>
        <w:tc>
          <w:tcPr>
            <w:tcW w:type="dxa" w:w="36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清粉彻底 + 专用底漆 + 保证固化</w:t>
            </w:r>
          </w:p>
        </w:tc>
      </w:tr>
      <w:tr>
        <w:tc>
          <w:tcPr>
            <w:tcW w:type="dxa" w:w="22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深度不均</w:t>
            </w:r>
          </w:p>
        </w:tc>
        <w:tc>
          <w:tcPr>
            <w:tcW w:type="dxa" w:w="34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碑面不平、走速不稳</w:t>
            </w:r>
          </w:p>
        </w:tc>
        <w:tc>
          <w:tcPr>
            <w:tcW w:type="dxa" w:w="368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校平台面、匀速走枪、检查稳压阀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6-1  芝麻黑喷砂常见问题与对策</w:t>
      </w:r>
    </w:p>
    <w:p>
      <w:r>
        <w:br w:type="page"/>
      </w:r>
    </w:p>
    <w:p>
      <w:pPr>
        <w:pStyle w:val="Heading1"/>
      </w:pPr>
      <w:r>
        <w:t xml:space="preserve">第 7 章  安全与环保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呼吸防护：开放式喷砂粉尘扩散大，必须佩戴供气式头盔或 P100 防尘口罩。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听力/眼部：耳塞（空压机 85–95 dB）+ 护目镜；身体穿连体防尘服 + 橡胶手套，禁化纤。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现场：2 m 防尘围挡，除尘器先开后关（停机后延时 ≥ 5 min）。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设备：储气罐每日排污、安全阀定期校验；喷嘴磨损 &gt; 15% 即换。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t xml:space="preserve">环保：废砂/石粉袋装收集，交有资质单位处置，严禁排入雨水或土壤；符合 GB 16297。</w:t>
      </w:r>
    </w:p>
    <w:p>
      <w:r>
        <w:br w:type="page"/>
      </w:r>
    </w:p>
    <w:p>
      <w:pPr>
        <w:pStyle w:val="Heading1"/>
      </w:pPr>
      <w:r>
        <w:t xml:space="preserve">第 8 章  设备维护与保养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360"/>
      </w:tblGrid>
      <w:tr>
        <w:trPr>
          <w:tblHeader/>
        </w:trP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部件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维护周期</w:t>
            </w:r>
          </w:p>
        </w:tc>
        <w:tc>
          <w:tcPr>
            <w:tcW w:type="dxa" w:w="4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维护内容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油水分离器 / 过滤器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每日</w:t>
            </w:r>
          </w:p>
        </w:tc>
        <w:tc>
          <w:tcPr>
            <w:tcW w:type="dxa" w:w="4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排污、检查滤芯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喷嘴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每班次</w:t>
            </w:r>
          </w:p>
        </w:tc>
        <w:tc>
          <w:tcPr>
            <w:tcW w:type="dxa" w:w="4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测孔径，磨损 &gt; 15% 更换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砂阀 / 调砂器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每周</w:t>
            </w:r>
          </w:p>
        </w:tc>
        <w:tc>
          <w:tcPr>
            <w:tcW w:type="dxa" w:w="4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清理砂道、检查密封件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软管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每月</w:t>
            </w:r>
          </w:p>
        </w:tc>
        <w:tc>
          <w:tcPr>
            <w:tcW w:type="dxa" w:w="4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检查磨损、龟裂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除尘器滤筒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压差报警时</w:t>
            </w:r>
          </w:p>
        </w:tc>
        <w:tc>
          <w:tcPr>
            <w:tcW w:type="dxa" w:w="4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2F6FB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脉冲反吹或拆洗/更换</w:t>
            </w:r>
          </w:p>
        </w:tc>
      </w:tr>
      <w:tr>
        <w:tc>
          <w:tcPr>
            <w:tcW w:type="dxa" w:w="3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空压机</w:t>
            </w:r>
          </w:p>
        </w:tc>
        <w:tc>
          <w:tcPr>
            <w:tcW w:type="dxa" w:w="200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按厂家手册</w:t>
            </w:r>
          </w:p>
        </w:tc>
        <w:tc>
          <w:tcPr>
            <w:tcW w:type="dxa" w:w="4360"/>
            <w:tcBorders>
              <w:top w:val="single" w:color="AAB7C4" w:sz="1"/>
              <w:left w:val="single" w:color="AAB7C4" w:sz="1"/>
              <w:bottom w:val="single" w:color="AAB7C4" w:sz="1"/>
              <w:right w:val="single" w:color="AAB7C4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换油、换滤芯、检查皮带</w:t>
            </w:r>
          </w:p>
        </w:tc>
      </w:tr>
    </w:tbl>
    <w:p>
      <w:pPr>
        <w:spacing w:after="160" w:before="60"/>
        <w:jc w:val="center"/>
      </w:pPr>
      <w:r>
        <w:rPr>
          <w:i/>
          <w:iCs/>
          <w:color w:val="555555"/>
          <w:sz w:val="20"/>
          <w:szCs w:val="20"/>
        </w:rPr>
        <w:t xml:space="preserve">表 8-1  设备维护保养周期表</w:t>
      </w:r>
    </w:p>
    <w:p>
      <w:r>
        <w:br w:type="page"/>
      </w:r>
    </w:p>
    <w:p>
      <w:pPr>
        <w:pStyle w:val="Heading1"/>
      </w:pPr>
      <w:r>
        <w:t xml:space="preserve">第 9 章  交付与验收资料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碑文确认单（客户签字原件）。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石材材质证明（品种、产地、放射性 A 类报告）。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石材物理性能检测报告（密度、吸水率、抗压强度）。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试喷样板（附参数标签：气压/砂目/遍数/字深）。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成品照片（正面、侧光、填色前后对比，≥ 300 dpi）。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工艺参数记录卡（用于售后追溯）。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t xml:space="preserve">质保书：刻字本体 10 年，填色/描金 2 年，石材防护 5 年。</w:t>
      </w:r>
    </w:p>
    <w:p>
      <w:pPr>
        <w:pBdr>
          <w:top w:val="single" w:color="2E75B6" w:sz="6" w:space="6"/>
        </w:pBdr>
        <w:spacing w:before="300"/>
      </w:pPr>
    </w:p>
    <w:p>
      <w:pPr>
        <w:spacing w:after="120" w:line="360"/>
        <w:jc w:val="both"/>
      </w:pPr>
      <w:r>
        <w:rPr>
          <w:b/>
          <w:bCs/>
          <w:color w:val="1F3864"/>
        </w:rPr>
        <w:t xml:space="preserve">结论：</w:t>
      </w:r>
      <w:r>
        <w:t xml:space="preserve">芝麻黑墓碑喷砂刻字的核心在于「控制星点崩落 + 消除灰雾恢复黑底」。通过中细砂多遍叠加的开采式切削，并严格执行「粗雕→精修→收面」三阶段工艺，尤其以 150–180 目细砂/玻璃珠末遍快扫收面，可确保刻字区纯黑锐利、描金对比鲜明、长期耐候。首次批量生产前必须用同料试刻确认参数。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第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8"/>
        <w:szCs w:val="18"/>
      </w:rPr>
      <w:t xml:space="preserve"> 页 / 共 </w:t>
    </w:r>
    <w:r>
      <w:rPr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color w:val="666666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6" w:space="2"/>
      </w:pBdr>
      <w:jc w:val="right"/>
    </w:pPr>
    <w:r>
      <w:rPr>
        <w:color w:val="666666"/>
        <w:sz w:val="18"/>
        <w:szCs w:val="18"/>
      </w:rPr>
      <w:t xml:space="preserve">芝麻黑墓碑喷砂刻字技术方案书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思源黑体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3864" w:sz="12" w:space="4"/>
      </w:pBdr>
      <w:spacing w:after="160" w:before="300"/>
      <w:outlineLvl w:val="0"/>
    </w:pPr>
    <w:rPr>
      <w:rFonts w:ascii="Times New Roman" w:cs="Times New Roman" w:eastAsia="思源黑体" w:hAnsi="Times New Roman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Times New Roman" w:cs="Times New Roman" w:eastAsia="思源黑体" w:hAnsi="Times New Roman"/>
      <w:b/>
      <w:bCs/>
      <w:color w:val="2E75B6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100" w:before="160"/>
      <w:outlineLvl w:val="2"/>
    </w:pPr>
    <w:rPr>
      <w:rFonts w:ascii="Times New Roman" w:cs="Times New Roman" w:eastAsia="思源黑体" w:hAnsi="Times New Roman"/>
      <w:b/>
      <w:bCs/>
      <w:color w:val="333333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2026-08-29T09:49:04.900Z</dcterms:created>
  <dcterms:modified xsi:type="dcterms:W3CDTF">2026-08-29T09:49:04.901Z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{"Label":"1","ContentProducer":"001191440300708461136T1WFUO","ProduceID":"9a05ea6faceca5f97a23441270d8a57f-LEv9","ReservedCode1":"{\"Type\":\" TC260PG\",\"Version\":1,\"Bindings\":[{\"Type\":\"soft\",\"AlgID\":\"sm3\",\"Value\":\"02af8c3dcfcad2911a373bd04a6595d72a2eabb4ae1ebb5bb406c510462bf541\"},{\"Type\":\"hash\",\"AlgID\":\"sm3\",\"Value\":\"627b72a2052b655387cd249bee08a812fbcbddedc2d653f9af019cfd067140d5\"}],\"PubSD\":[{\"Type\":\"DS\",\"AlgID\":\"sm2\",\"TBSData\":{\"Type\":\"Binding\",\"BType\":\"hash\"},\"Signature\":\"3046022100b9e86cb572e73a69a408c311218b90b1e33bf85bb38973949f662d9759a51e6d022100ec4e0ef0000c6ef6b232305b42e2bd419cb9d2aeddaf0c0e93f63e91e96df5a8\"},{\"Type\":\"PubKey\",\"AlgID\":\"sm2\",\"KeyValue\":\"0407f79b28a17a752b3aae4305c98b48978213832729a2571850b1310b2bc9fe8fee039ccf25ebfeac27502414d9fcef792d777183c98893d226171c2f7a3289a2\"}],\"Extension\":{\"Timestamp\":1787996964,\"KeyVersion\":\"v1-TxLeOmf7bqU223\"}}","ContentPropagator":"001191440300708461136T1WFUO","PropagateID":"9a05ea6faceca5f97a23441270d8a57f-LEv9","ReservedCode2":"{\"Type\":\" TC260PG\",\"Version\":1,\"Bindings\":[{\"Type\":\"soft\",\"AlgID\":\"sm3\",\"Value\":\"02af8c3dcfcad2911a373bd04a6595d72a2eabb4ae1ebb5bb406c510462bf541\"},{\"Type\":\"hash\",\"AlgID\":\"sm3\",\"Value\":\"627b72a2052b655387cd249bee08a812fbcbddedc2d653f9af019cfd067140d5\"}],\"PubSD\":[{\"Type\":\"DS\",\"AlgID\":\"sm2\",\"TBSData\":{\"Type\":\"Binding\",\"BType\":\"hash\"},\"Signature\":\"3045022066027ec71fc0470d7d6c9a28c16ad3a4b43437aa32535b615ad87e21b1af5362022100e1db176b01db731be1adb5accc4ead70a9e684c73877967268f8b7f5655ab17f\"},{\"Type\":\"PubKey\",\"AlgID\":\"sm2\",\"KeyValue\":\"0407f79b28a17a752b3aae4305c98b48978213832729a2571850b1310b2bc9fe8fee039ccf25ebfeac27502414d9fcef792d777183c98893d226171c2f7a3289a2\"}],\"Extension\":{\"Timestamp\":1787996964,\"KeyVersion\":\"v1-TxLeOmf7bqU223\"}}"}</vt:lpwstr>
  </property>
</Properties>
</file>